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outlineLvl w:val="9"/>
        <w:rPr>
          <w:rFonts w:hint="eastAsia" w:ascii="仿宋_GB2312" w:hAnsi="仿宋_GB2312" w:eastAsia="仿宋_GB2312" w:cs="仿宋_GB2312"/>
          <w:b/>
          <w:bCs/>
          <w:color w:val="auto"/>
          <w:sz w:val="36"/>
          <w:szCs w:val="36"/>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outlineLvl w:val="9"/>
        <w:rPr>
          <w:rFonts w:hint="eastAsia" w:ascii="仿宋_GB2312" w:hAnsi="仿宋_GB2312" w:eastAsia="仿宋_GB2312" w:cs="仿宋_GB2312"/>
          <w:b/>
          <w:bCs/>
          <w:color w:val="auto"/>
          <w:sz w:val="52"/>
          <w:szCs w:val="52"/>
          <w:highlight w:val="none"/>
          <w:lang w:val="en-US" w:eastAsia="zh-CN"/>
        </w:rPr>
      </w:pPr>
      <w:r>
        <w:rPr>
          <w:rFonts w:hint="eastAsia" w:ascii="仿宋_GB2312" w:hAnsi="仿宋_GB2312" w:eastAsia="仿宋_GB2312" w:cs="仿宋_GB2312"/>
          <w:b/>
          <w:bCs/>
          <w:color w:val="auto"/>
          <w:sz w:val="52"/>
          <w:szCs w:val="52"/>
          <w:highlight w:val="none"/>
          <w:lang w:val="en-US" w:eastAsia="zh-CN"/>
        </w:rPr>
        <w:t>中铁建（北京）物业管理有限公司</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outlineLvl w:val="9"/>
        <w:rPr>
          <w:rFonts w:hint="eastAsia" w:ascii="仿宋_GB2312" w:hAnsi="仿宋_GB2312" w:eastAsia="仿宋_GB2312" w:cs="仿宋_GB2312"/>
          <w:b/>
          <w:bCs/>
          <w:color w:val="auto"/>
          <w:sz w:val="52"/>
          <w:szCs w:val="5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outlineLvl w:val="9"/>
        <w:rPr>
          <w:rFonts w:hint="eastAsia" w:ascii="仿宋_GB2312" w:hAnsi="仿宋_GB2312" w:eastAsia="仿宋_GB2312" w:cs="仿宋_GB2312"/>
          <w:b/>
          <w:bCs/>
          <w:color w:val="auto"/>
          <w:sz w:val="52"/>
          <w:szCs w:val="52"/>
          <w:highlight w:val="none"/>
          <w:lang w:val="en-US" w:eastAsia="zh-CN"/>
        </w:rPr>
      </w:pPr>
      <w:r>
        <w:rPr>
          <w:rFonts w:hint="eastAsia" w:ascii="仿宋_GB2312" w:hAnsi="仿宋_GB2312" w:eastAsia="仿宋_GB2312" w:cs="仿宋_GB2312"/>
          <w:b/>
          <w:bCs/>
          <w:color w:val="auto"/>
          <w:sz w:val="52"/>
          <w:szCs w:val="52"/>
          <w:highlight w:val="none"/>
          <w:lang w:val="en-US" w:eastAsia="zh-CN"/>
        </w:rPr>
        <w:t>日常清洁服务工作指导手册</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outlineLvl w:val="9"/>
        <w:rPr>
          <w:rFonts w:hint="eastAsia" w:ascii="仿宋_GB2312" w:hAnsi="仿宋_GB2312" w:eastAsia="仿宋_GB2312" w:cs="仿宋_GB2312"/>
          <w:b/>
          <w:bCs/>
          <w:color w:val="auto"/>
          <w:sz w:val="36"/>
          <w:szCs w:val="36"/>
          <w:highlight w:val="none"/>
          <w:lang w:val="en-US" w:eastAsia="zh-CN"/>
        </w:rPr>
      </w:pPr>
      <w:bookmarkStart w:id="7" w:name="_GoBack"/>
      <w:bookmarkEnd w:id="7"/>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outlineLvl w:val="9"/>
        <w:rPr>
          <w:rFonts w:hint="eastAsia" w:ascii="仿宋_GB2312" w:hAnsi="仿宋_GB2312" w:eastAsia="仿宋_GB2312" w:cs="仿宋_GB2312"/>
          <w:b/>
          <w:bCs/>
          <w:color w:val="auto"/>
          <w:sz w:val="36"/>
          <w:szCs w:val="36"/>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outlineLvl w:val="9"/>
        <w:rPr>
          <w:rFonts w:hint="eastAsia" w:ascii="仿宋_GB2312" w:hAnsi="仿宋_GB2312" w:eastAsia="仿宋_GB2312" w:cs="仿宋_GB2312"/>
          <w:b/>
          <w:bCs/>
          <w:color w:val="auto"/>
          <w:sz w:val="36"/>
          <w:szCs w:val="36"/>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outlineLvl w:val="9"/>
        <w:rPr>
          <w:rFonts w:hint="eastAsia" w:ascii="仿宋_GB2312" w:hAnsi="仿宋_GB2312" w:eastAsia="仿宋_GB2312" w:cs="仿宋_GB2312"/>
          <w:b/>
          <w:bCs/>
          <w:color w:val="auto"/>
          <w:sz w:val="36"/>
          <w:szCs w:val="36"/>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outlineLvl w:val="9"/>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drawing>
          <wp:inline distT="0" distB="0" distL="114300" distR="114300">
            <wp:extent cx="2037715" cy="1638935"/>
            <wp:effectExtent l="0" t="0" r="635" b="184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2037715" cy="163893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outlineLvl w:val="9"/>
        <w:rPr>
          <w:rFonts w:hint="eastAsia" w:ascii="仿宋_GB2312" w:hAnsi="仿宋_GB2312" w:eastAsia="仿宋_GB2312" w:cs="仿宋_GB2312"/>
          <w:color w:val="auto"/>
          <w:highlight w:val="none"/>
        </w:rPr>
      </w:pP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outlineLvl w:val="9"/>
        <w:rPr>
          <w:rFonts w:hint="eastAsia" w:ascii="仿宋_GB2312" w:hAnsi="仿宋_GB2312" w:eastAsia="仿宋_GB2312" w:cs="仿宋_GB2312"/>
          <w:color w:val="auto"/>
          <w:highlight w:val="none"/>
        </w:rPr>
      </w:pP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outlineLvl w:val="9"/>
        <w:rPr>
          <w:rFonts w:hint="eastAsia" w:ascii="仿宋_GB2312" w:hAnsi="仿宋_GB2312" w:eastAsia="仿宋_GB2312" w:cs="仿宋_GB2312"/>
          <w:color w:val="auto"/>
          <w:highlight w:val="none"/>
        </w:rPr>
      </w:pP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outlineLvl w:val="9"/>
        <w:rPr>
          <w:rFonts w:hint="eastAsia" w:ascii="仿宋_GB2312" w:hAnsi="仿宋_GB2312" w:eastAsia="仿宋_GB2312" w:cs="仿宋_GB2312"/>
          <w:color w:val="auto"/>
          <w:highlight w:val="none"/>
        </w:rPr>
      </w:pP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outlineLvl w:val="9"/>
        <w:rPr>
          <w:rFonts w:hint="eastAsia" w:ascii="仿宋_GB2312" w:hAnsi="仿宋_GB2312" w:eastAsia="仿宋_GB2312" w:cs="仿宋_GB2312"/>
          <w:color w:val="auto"/>
          <w:highlight w:val="none"/>
        </w:rPr>
      </w:pP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outlineLvl w:val="9"/>
        <w:rPr>
          <w:rFonts w:hint="eastAsia" w:ascii="仿宋_GB2312" w:hAnsi="仿宋_GB2312" w:eastAsia="仿宋_GB2312" w:cs="仿宋_GB2312"/>
          <w:color w:val="auto"/>
          <w:highlight w:val="none"/>
        </w:rPr>
      </w:pP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outlineLvl w:val="9"/>
        <w:rPr>
          <w:rFonts w:hint="eastAsia" w:ascii="仿宋_GB2312" w:hAnsi="仿宋_GB2312" w:eastAsia="仿宋_GB2312" w:cs="仿宋_GB2312"/>
          <w:color w:val="auto"/>
          <w:highlight w:val="none"/>
        </w:rPr>
      </w:pP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outlineLvl w:val="9"/>
        <w:rPr>
          <w:rFonts w:hint="eastAsia" w:ascii="仿宋_GB2312" w:hAnsi="仿宋_GB2312" w:eastAsia="仿宋_GB2312" w:cs="仿宋_GB2312"/>
          <w:b w:val="0"/>
          <w:bCs w:val="0"/>
          <w:color w:val="auto"/>
          <w:sz w:val="36"/>
          <w:szCs w:val="36"/>
          <w:highlight w:val="none"/>
          <w:lang w:eastAsia="zh-CN"/>
        </w:rPr>
        <w:sectPr>
          <w:footerReference r:id="rId3" w:type="default"/>
          <w:pgSz w:w="11906" w:h="16838"/>
          <w:pgMar w:top="1440" w:right="1800" w:bottom="1440" w:left="1800" w:header="851" w:footer="992" w:gutter="0"/>
          <w:pgNumType w:fmt="numberInDash" w:start="1"/>
          <w:cols w:space="425" w:num="1"/>
          <w:docGrid w:type="lines" w:linePitch="312" w:charSpace="0"/>
        </w:sectPr>
      </w:pPr>
      <w:r>
        <w:rPr>
          <w:rFonts w:hint="eastAsia" w:ascii="仿宋_GB2312" w:hAnsi="仿宋_GB2312" w:eastAsia="仿宋_GB2312" w:cs="仿宋_GB2312"/>
          <w:color w:val="auto"/>
          <w:highlight w:val="none"/>
        </w:rPr>
        <w:drawing>
          <wp:anchor distT="0" distB="0" distL="114300" distR="114300" simplePos="0" relativeHeight="251658240" behindDoc="0" locked="0" layoutInCell="1" allowOverlap="1">
            <wp:simplePos x="0" y="0"/>
            <wp:positionH relativeFrom="column">
              <wp:posOffset>-1144270</wp:posOffset>
            </wp:positionH>
            <wp:positionV relativeFrom="paragraph">
              <wp:posOffset>1851660</wp:posOffset>
            </wp:positionV>
            <wp:extent cx="7562215" cy="125730"/>
            <wp:effectExtent l="0" t="0" r="635" b="762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7562215" cy="125730"/>
                    </a:xfrm>
                    <a:prstGeom prst="rect">
                      <a:avLst/>
                    </a:prstGeom>
                    <a:noFill/>
                    <a:ln w="9525">
                      <a:noFill/>
                    </a:ln>
                  </pic:spPr>
                </pic:pic>
              </a:graphicData>
            </a:graphic>
          </wp:anchor>
        </w:drawing>
      </w:r>
      <w:r>
        <w:rPr>
          <w:rFonts w:hint="eastAsia" w:ascii="仿宋_GB2312" w:hAnsi="仿宋_GB2312" w:eastAsia="仿宋_GB2312" w:cs="仿宋_GB2312"/>
          <w:b w:val="0"/>
          <w:bCs w:val="0"/>
          <w:color w:val="auto"/>
          <w:sz w:val="36"/>
          <w:szCs w:val="36"/>
          <w:highlight w:val="none"/>
          <w:lang w:eastAsia="zh-CN"/>
        </w:rPr>
        <w:t>二〇一七年五月</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outlineLvl w:val="9"/>
        <w:rPr>
          <w:rFonts w:hint="eastAsia" w:ascii="仿宋_GB2312" w:hAnsi="仿宋_GB2312" w:eastAsia="仿宋_GB2312" w:cs="仿宋_GB2312"/>
          <w:b/>
          <w:bCs/>
          <w:color w:val="auto"/>
          <w:sz w:val="36"/>
          <w:szCs w:val="36"/>
          <w:highlight w:val="none"/>
          <w:lang w:val="en-US" w:eastAsia="zh-CN"/>
        </w:rPr>
      </w:pPr>
      <w:r>
        <w:rPr>
          <w:rFonts w:hint="eastAsia" w:ascii="仿宋_GB2312" w:hAnsi="仿宋_GB2312" w:eastAsia="仿宋_GB2312" w:cs="仿宋_GB2312"/>
          <w:b/>
          <w:bCs/>
          <w:color w:val="auto"/>
          <w:sz w:val="36"/>
          <w:szCs w:val="36"/>
          <w:highlight w:val="none"/>
          <w:lang w:val="en-US" w:eastAsia="zh-CN"/>
        </w:rPr>
        <w:t>中铁建（北京）物业管理有限公司</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outlineLvl w:val="9"/>
        <w:rPr>
          <w:rFonts w:hint="eastAsia" w:ascii="仿宋_GB2312" w:hAnsi="仿宋_GB2312" w:eastAsia="仿宋_GB2312" w:cs="仿宋_GB2312"/>
          <w:b/>
          <w:bCs/>
          <w:color w:val="auto"/>
          <w:sz w:val="36"/>
          <w:szCs w:val="36"/>
          <w:highlight w:val="none"/>
          <w:lang w:val="en-US" w:eastAsia="zh-CN"/>
        </w:rPr>
      </w:pPr>
      <w:r>
        <w:rPr>
          <w:rFonts w:hint="eastAsia" w:ascii="仿宋_GB2312" w:hAnsi="仿宋_GB2312" w:eastAsia="仿宋_GB2312" w:cs="仿宋_GB2312"/>
          <w:b/>
          <w:bCs/>
          <w:color w:val="auto"/>
          <w:sz w:val="36"/>
          <w:szCs w:val="36"/>
          <w:highlight w:val="none"/>
          <w:lang w:val="en-US" w:eastAsia="zh-CN"/>
        </w:rPr>
        <w:t>日常清洁服务工作指导手册</w:t>
      </w:r>
    </w:p>
    <w:p>
      <w:pPr>
        <w:rPr>
          <w:rFonts w:hint="eastAsia" w:ascii="仿宋_GB2312" w:hAnsi="仿宋_GB2312" w:eastAsia="仿宋_GB2312" w:cs="仿宋_GB2312"/>
          <w:color w:val="auto"/>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outlineLvl w:val="9"/>
        <w:rPr>
          <w:rFonts w:hint="eastAsia" w:ascii="仿宋_GB2312" w:hAnsi="仿宋_GB2312" w:eastAsia="仿宋_GB2312" w:cs="仿宋_GB2312"/>
          <w:b/>
          <w:bCs/>
          <w:color w:val="auto"/>
          <w:sz w:val="36"/>
          <w:szCs w:val="36"/>
          <w:highlight w:val="none"/>
          <w:lang w:val="en-US" w:eastAsia="zh-CN"/>
        </w:rPr>
      </w:pPr>
      <w:r>
        <w:rPr>
          <w:rFonts w:hint="eastAsia" w:ascii="仿宋_GB2312" w:hAnsi="仿宋_GB2312" w:eastAsia="仿宋_GB2312" w:cs="仿宋_GB2312"/>
          <w:b/>
          <w:bCs/>
          <w:color w:val="auto"/>
          <w:sz w:val="36"/>
          <w:szCs w:val="36"/>
          <w:highlight w:val="none"/>
          <w:lang w:val="en-US" w:eastAsia="zh-CN"/>
        </w:rPr>
        <w:t>目  录</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outlineLvl w:val="9"/>
        <w:rPr>
          <w:rFonts w:hint="eastAsia" w:ascii="仿宋_GB2312" w:hAnsi="仿宋_GB2312" w:eastAsia="仿宋_GB2312" w:cs="仿宋_GB2312"/>
          <w:b/>
          <w:bCs/>
          <w:color w:val="auto"/>
          <w:sz w:val="36"/>
          <w:szCs w:val="36"/>
          <w:highlight w:val="none"/>
          <w:lang w:val="en-US" w:eastAsia="zh-CN"/>
        </w:rPr>
      </w:pPr>
    </w:p>
    <w:p>
      <w:pPr>
        <w:pStyle w:val="7"/>
        <w:tabs>
          <w:tab w:val="right" w:leader="dot" w:pos="8306"/>
        </w:tabs>
        <w:rPr>
          <w:rFonts w:hint="eastAsia" w:ascii="仿宋_GB2312" w:hAnsi="仿宋_GB2312" w:eastAsia="仿宋_GB2312" w:cs="仿宋_GB2312"/>
          <w:b w:val="0"/>
          <w:bCs w:val="0"/>
          <w:color w:val="auto"/>
          <w:sz w:val="28"/>
          <w:szCs w:val="28"/>
          <w:highlight w:val="none"/>
        </w:rPr>
      </w:pPr>
      <w:r>
        <w:rPr>
          <w:rFonts w:hint="eastAsia" w:ascii="仿宋_GB2312" w:hAnsi="仿宋_GB2312" w:eastAsia="仿宋_GB2312" w:cs="仿宋_GB2312"/>
          <w:b/>
          <w:bCs/>
          <w:color w:val="auto"/>
          <w:sz w:val="28"/>
          <w:szCs w:val="28"/>
          <w:highlight w:val="none"/>
          <w:lang w:val="en-US" w:eastAsia="zh-CN"/>
        </w:rPr>
        <w:fldChar w:fldCharType="begin"/>
      </w:r>
      <w:r>
        <w:rPr>
          <w:rFonts w:hint="eastAsia" w:ascii="仿宋_GB2312" w:hAnsi="仿宋_GB2312" w:eastAsia="仿宋_GB2312" w:cs="仿宋_GB2312"/>
          <w:b/>
          <w:bCs/>
          <w:color w:val="auto"/>
          <w:sz w:val="28"/>
          <w:szCs w:val="28"/>
          <w:highlight w:val="none"/>
          <w:lang w:val="en-US" w:eastAsia="zh-CN"/>
        </w:rPr>
        <w:instrText xml:space="preserve">TOC \o "1-1" \h \u </w:instrText>
      </w:r>
      <w:r>
        <w:rPr>
          <w:rFonts w:hint="eastAsia" w:ascii="仿宋_GB2312" w:hAnsi="仿宋_GB2312" w:eastAsia="仿宋_GB2312" w:cs="仿宋_GB2312"/>
          <w:b/>
          <w:bCs/>
          <w:color w:val="auto"/>
          <w:sz w:val="28"/>
          <w:szCs w:val="28"/>
          <w:highlight w:val="none"/>
          <w:lang w:val="en-US" w:eastAsia="zh-CN"/>
        </w:rPr>
        <w:fldChar w:fldCharType="separate"/>
      </w:r>
      <w:r>
        <w:rPr>
          <w:rFonts w:hint="eastAsia" w:ascii="仿宋_GB2312" w:hAnsi="仿宋_GB2312" w:eastAsia="仿宋_GB2312" w:cs="仿宋_GB2312"/>
          <w:b w:val="0"/>
          <w:bCs w:val="0"/>
          <w:color w:val="auto"/>
          <w:sz w:val="28"/>
          <w:szCs w:val="28"/>
          <w:highlight w:val="none"/>
          <w:lang w:val="en-US" w:eastAsia="zh-CN"/>
        </w:rPr>
        <w:fldChar w:fldCharType="begin"/>
      </w:r>
      <w:r>
        <w:rPr>
          <w:rFonts w:hint="eastAsia" w:ascii="仿宋_GB2312" w:hAnsi="仿宋_GB2312" w:eastAsia="仿宋_GB2312" w:cs="仿宋_GB2312"/>
          <w:b w:val="0"/>
          <w:bCs w:val="0"/>
          <w:color w:val="auto"/>
          <w:sz w:val="28"/>
          <w:szCs w:val="28"/>
          <w:highlight w:val="none"/>
          <w:lang w:val="en-US" w:eastAsia="zh-CN"/>
        </w:rPr>
        <w:instrText xml:space="preserve"> HYPERLINK \l _Toc27044 </w:instrText>
      </w:r>
      <w:r>
        <w:rPr>
          <w:rFonts w:hint="eastAsia" w:ascii="仿宋_GB2312" w:hAnsi="仿宋_GB2312" w:eastAsia="仿宋_GB2312" w:cs="仿宋_GB2312"/>
          <w:b w:val="0"/>
          <w:bCs w:val="0"/>
          <w:color w:val="auto"/>
          <w:sz w:val="28"/>
          <w:szCs w:val="28"/>
          <w:highlight w:val="none"/>
          <w:lang w:val="en-US" w:eastAsia="zh-CN"/>
        </w:rPr>
        <w:fldChar w:fldCharType="separate"/>
      </w:r>
      <w:r>
        <w:rPr>
          <w:rFonts w:hint="eastAsia" w:ascii="仿宋_GB2312" w:hAnsi="仿宋_GB2312" w:eastAsia="仿宋_GB2312" w:cs="仿宋_GB2312"/>
          <w:b w:val="0"/>
          <w:bCs w:val="0"/>
          <w:color w:val="auto"/>
          <w:sz w:val="28"/>
          <w:szCs w:val="28"/>
          <w:highlight w:val="none"/>
          <w:lang w:eastAsia="zh-CN"/>
        </w:rPr>
        <w:t>第一章 合格供方审核标准</w:t>
      </w:r>
      <w:r>
        <w:rPr>
          <w:rFonts w:hint="eastAsia" w:ascii="仿宋_GB2312" w:hAnsi="仿宋_GB2312" w:eastAsia="仿宋_GB2312" w:cs="仿宋_GB2312"/>
          <w:b w:val="0"/>
          <w:bCs w:val="0"/>
          <w:color w:val="auto"/>
          <w:sz w:val="28"/>
          <w:szCs w:val="28"/>
          <w:highlight w:val="none"/>
        </w:rPr>
        <w:tab/>
      </w:r>
      <w:r>
        <w:rPr>
          <w:rFonts w:hint="eastAsia" w:ascii="仿宋_GB2312" w:hAnsi="仿宋_GB2312" w:eastAsia="仿宋_GB2312" w:cs="仿宋_GB2312"/>
          <w:b w:val="0"/>
          <w:bCs w:val="0"/>
          <w:color w:val="auto"/>
          <w:sz w:val="28"/>
          <w:szCs w:val="28"/>
          <w:highlight w:val="none"/>
          <w:lang w:val="en-US" w:eastAsia="zh-CN"/>
        </w:rPr>
        <w:t>1</w:t>
      </w:r>
      <w:r>
        <w:rPr>
          <w:rFonts w:hint="eastAsia" w:ascii="仿宋_GB2312" w:hAnsi="仿宋_GB2312" w:eastAsia="仿宋_GB2312" w:cs="仿宋_GB2312"/>
          <w:b w:val="0"/>
          <w:bCs w:val="0"/>
          <w:color w:val="auto"/>
          <w:sz w:val="28"/>
          <w:szCs w:val="28"/>
          <w:highlight w:val="none"/>
          <w:lang w:val="en-US" w:eastAsia="zh-CN"/>
        </w:rPr>
        <w:fldChar w:fldCharType="end"/>
      </w:r>
    </w:p>
    <w:p>
      <w:pPr>
        <w:pStyle w:val="7"/>
        <w:tabs>
          <w:tab w:val="right" w:leader="dot" w:pos="8306"/>
        </w:tabs>
        <w:rPr>
          <w:rFonts w:hint="eastAsia" w:ascii="仿宋_GB2312" w:hAnsi="仿宋_GB2312" w:eastAsia="仿宋_GB2312" w:cs="仿宋_GB2312"/>
          <w:b w:val="0"/>
          <w:bCs w:val="0"/>
          <w:color w:val="auto"/>
          <w:sz w:val="28"/>
          <w:szCs w:val="28"/>
          <w:highlight w:val="none"/>
        </w:rPr>
      </w:pPr>
      <w:r>
        <w:rPr>
          <w:rFonts w:hint="eastAsia" w:ascii="仿宋_GB2312" w:hAnsi="仿宋_GB2312" w:eastAsia="仿宋_GB2312" w:cs="仿宋_GB2312"/>
          <w:b w:val="0"/>
          <w:bCs w:val="0"/>
          <w:color w:val="auto"/>
          <w:sz w:val="28"/>
          <w:szCs w:val="28"/>
          <w:highlight w:val="none"/>
          <w:lang w:val="en-US" w:eastAsia="zh-CN"/>
        </w:rPr>
        <w:fldChar w:fldCharType="begin"/>
      </w:r>
      <w:r>
        <w:rPr>
          <w:rFonts w:hint="eastAsia" w:ascii="仿宋_GB2312" w:hAnsi="仿宋_GB2312" w:eastAsia="仿宋_GB2312" w:cs="仿宋_GB2312"/>
          <w:b w:val="0"/>
          <w:bCs w:val="0"/>
          <w:color w:val="auto"/>
          <w:sz w:val="28"/>
          <w:szCs w:val="28"/>
          <w:highlight w:val="none"/>
          <w:lang w:val="en-US" w:eastAsia="zh-CN"/>
        </w:rPr>
        <w:instrText xml:space="preserve"> HYPERLINK \l _Toc1990 </w:instrText>
      </w:r>
      <w:r>
        <w:rPr>
          <w:rFonts w:hint="eastAsia" w:ascii="仿宋_GB2312" w:hAnsi="仿宋_GB2312" w:eastAsia="仿宋_GB2312" w:cs="仿宋_GB2312"/>
          <w:b w:val="0"/>
          <w:bCs w:val="0"/>
          <w:color w:val="auto"/>
          <w:sz w:val="28"/>
          <w:szCs w:val="28"/>
          <w:highlight w:val="none"/>
          <w:lang w:val="en-US" w:eastAsia="zh-CN"/>
        </w:rPr>
        <w:fldChar w:fldCharType="separate"/>
      </w:r>
      <w:r>
        <w:rPr>
          <w:rFonts w:hint="eastAsia" w:ascii="仿宋_GB2312" w:hAnsi="仿宋_GB2312" w:eastAsia="仿宋_GB2312" w:cs="仿宋_GB2312"/>
          <w:b w:val="0"/>
          <w:bCs w:val="0"/>
          <w:color w:val="auto"/>
          <w:sz w:val="28"/>
          <w:szCs w:val="28"/>
          <w:highlight w:val="none"/>
          <w:lang w:eastAsia="zh-CN"/>
        </w:rPr>
        <w:t>第二章 保洁服务工作要求细则</w:t>
      </w:r>
      <w:r>
        <w:rPr>
          <w:rFonts w:hint="eastAsia" w:ascii="仿宋_GB2312" w:hAnsi="仿宋_GB2312" w:eastAsia="仿宋_GB2312" w:cs="仿宋_GB2312"/>
          <w:b w:val="0"/>
          <w:bCs w:val="0"/>
          <w:color w:val="auto"/>
          <w:sz w:val="28"/>
          <w:szCs w:val="28"/>
          <w:highlight w:val="none"/>
        </w:rPr>
        <w:tab/>
      </w:r>
      <w:r>
        <w:rPr>
          <w:rFonts w:hint="eastAsia" w:ascii="仿宋_GB2312" w:hAnsi="仿宋_GB2312" w:eastAsia="仿宋_GB2312" w:cs="仿宋_GB2312"/>
          <w:b w:val="0"/>
          <w:bCs w:val="0"/>
          <w:color w:val="auto"/>
          <w:sz w:val="28"/>
          <w:szCs w:val="28"/>
          <w:highlight w:val="none"/>
          <w:lang w:val="en-US" w:eastAsia="zh-CN"/>
        </w:rPr>
        <w:t>7</w:t>
      </w:r>
      <w:r>
        <w:rPr>
          <w:rFonts w:hint="eastAsia" w:ascii="仿宋_GB2312" w:hAnsi="仿宋_GB2312" w:eastAsia="仿宋_GB2312" w:cs="仿宋_GB2312"/>
          <w:b w:val="0"/>
          <w:bCs w:val="0"/>
          <w:color w:val="auto"/>
          <w:sz w:val="28"/>
          <w:szCs w:val="28"/>
          <w:highlight w:val="none"/>
          <w:lang w:val="en-US" w:eastAsia="zh-CN"/>
        </w:rPr>
        <w:fldChar w:fldCharType="end"/>
      </w:r>
    </w:p>
    <w:p>
      <w:pPr>
        <w:pStyle w:val="7"/>
        <w:tabs>
          <w:tab w:val="right" w:leader="dot" w:pos="8306"/>
        </w:tabs>
        <w:rPr>
          <w:rFonts w:hint="eastAsia" w:ascii="仿宋_GB2312" w:hAnsi="仿宋_GB2312" w:eastAsia="仿宋_GB2312" w:cs="仿宋_GB2312"/>
          <w:b w:val="0"/>
          <w:bCs w:val="0"/>
          <w:color w:val="auto"/>
          <w:sz w:val="28"/>
          <w:szCs w:val="28"/>
          <w:highlight w:val="none"/>
        </w:rPr>
      </w:pPr>
      <w:r>
        <w:rPr>
          <w:rFonts w:hint="eastAsia" w:ascii="仿宋_GB2312" w:hAnsi="仿宋_GB2312" w:eastAsia="仿宋_GB2312" w:cs="仿宋_GB2312"/>
          <w:b w:val="0"/>
          <w:bCs w:val="0"/>
          <w:color w:val="auto"/>
          <w:sz w:val="28"/>
          <w:szCs w:val="28"/>
          <w:highlight w:val="none"/>
          <w:lang w:val="en-US" w:eastAsia="zh-CN"/>
        </w:rPr>
        <w:fldChar w:fldCharType="begin"/>
      </w:r>
      <w:r>
        <w:rPr>
          <w:rFonts w:hint="eastAsia" w:ascii="仿宋_GB2312" w:hAnsi="仿宋_GB2312" w:eastAsia="仿宋_GB2312" w:cs="仿宋_GB2312"/>
          <w:b w:val="0"/>
          <w:bCs w:val="0"/>
          <w:color w:val="auto"/>
          <w:sz w:val="28"/>
          <w:szCs w:val="28"/>
          <w:highlight w:val="none"/>
          <w:lang w:val="en-US" w:eastAsia="zh-CN"/>
        </w:rPr>
        <w:instrText xml:space="preserve"> HYPERLINK \l _Toc6350 </w:instrText>
      </w:r>
      <w:r>
        <w:rPr>
          <w:rFonts w:hint="eastAsia" w:ascii="仿宋_GB2312" w:hAnsi="仿宋_GB2312" w:eastAsia="仿宋_GB2312" w:cs="仿宋_GB2312"/>
          <w:b w:val="0"/>
          <w:bCs w:val="0"/>
          <w:color w:val="auto"/>
          <w:sz w:val="28"/>
          <w:szCs w:val="28"/>
          <w:highlight w:val="none"/>
          <w:lang w:val="en-US" w:eastAsia="zh-CN"/>
        </w:rPr>
        <w:fldChar w:fldCharType="separate"/>
      </w:r>
      <w:r>
        <w:rPr>
          <w:rFonts w:hint="eastAsia" w:ascii="仿宋_GB2312" w:hAnsi="仿宋_GB2312" w:eastAsia="仿宋_GB2312" w:cs="仿宋_GB2312"/>
          <w:b w:val="0"/>
          <w:bCs w:val="0"/>
          <w:color w:val="auto"/>
          <w:sz w:val="28"/>
          <w:szCs w:val="28"/>
          <w:highlight w:val="none"/>
          <w:lang w:eastAsia="zh-CN"/>
        </w:rPr>
        <w:t>第三章 保洁定量考核办法</w:t>
      </w:r>
      <w:r>
        <w:rPr>
          <w:rFonts w:hint="eastAsia" w:ascii="仿宋_GB2312" w:hAnsi="仿宋_GB2312" w:eastAsia="仿宋_GB2312" w:cs="仿宋_GB2312"/>
          <w:b w:val="0"/>
          <w:bCs w:val="0"/>
          <w:color w:val="auto"/>
          <w:sz w:val="28"/>
          <w:szCs w:val="28"/>
          <w:highlight w:val="none"/>
        </w:rPr>
        <w:tab/>
      </w:r>
      <w:r>
        <w:rPr>
          <w:rFonts w:hint="eastAsia" w:ascii="仿宋_GB2312" w:hAnsi="仿宋_GB2312" w:eastAsia="仿宋_GB2312" w:cs="仿宋_GB2312"/>
          <w:b w:val="0"/>
          <w:bCs w:val="0"/>
          <w:color w:val="auto"/>
          <w:sz w:val="28"/>
          <w:szCs w:val="28"/>
          <w:highlight w:val="none"/>
          <w:lang w:val="en-US" w:eastAsia="zh-CN"/>
        </w:rPr>
        <w:fldChar w:fldCharType="end"/>
      </w:r>
      <w:r>
        <w:rPr>
          <w:rFonts w:hint="eastAsia" w:ascii="仿宋_GB2312" w:hAnsi="仿宋_GB2312" w:eastAsia="仿宋_GB2312" w:cs="仿宋_GB2312"/>
          <w:b w:val="0"/>
          <w:bCs w:val="0"/>
          <w:color w:val="auto"/>
          <w:sz w:val="28"/>
          <w:szCs w:val="28"/>
          <w:highlight w:val="none"/>
          <w:lang w:val="en-US" w:eastAsia="zh-CN"/>
        </w:rPr>
        <w:t>22</w:t>
      </w:r>
    </w:p>
    <w:p>
      <w:pPr>
        <w:pStyle w:val="7"/>
        <w:tabs>
          <w:tab w:val="right" w:leader="dot" w:pos="8306"/>
        </w:tabs>
        <w:rPr>
          <w:rFonts w:hint="eastAsia" w:ascii="仿宋_GB2312" w:hAnsi="仿宋_GB2312" w:eastAsia="仿宋_GB2312" w:cs="仿宋_GB2312"/>
          <w:b w:val="0"/>
          <w:bCs w:val="0"/>
          <w:color w:val="auto"/>
          <w:sz w:val="28"/>
          <w:szCs w:val="28"/>
          <w:highlight w:val="none"/>
          <w:lang w:val="en-US" w:eastAsia="zh-CN"/>
        </w:rPr>
      </w:pPr>
      <w:r>
        <w:rPr>
          <w:rFonts w:hint="eastAsia" w:ascii="仿宋_GB2312" w:hAnsi="仿宋_GB2312" w:eastAsia="仿宋_GB2312" w:cs="仿宋_GB2312"/>
          <w:b w:val="0"/>
          <w:bCs w:val="0"/>
          <w:color w:val="auto"/>
          <w:sz w:val="28"/>
          <w:szCs w:val="28"/>
          <w:highlight w:val="none"/>
          <w:lang w:val="en-US" w:eastAsia="zh-CN"/>
        </w:rPr>
        <w:fldChar w:fldCharType="begin"/>
      </w:r>
      <w:r>
        <w:rPr>
          <w:rFonts w:hint="eastAsia" w:ascii="仿宋_GB2312" w:hAnsi="仿宋_GB2312" w:eastAsia="仿宋_GB2312" w:cs="仿宋_GB2312"/>
          <w:b w:val="0"/>
          <w:bCs w:val="0"/>
          <w:color w:val="auto"/>
          <w:sz w:val="28"/>
          <w:szCs w:val="28"/>
          <w:highlight w:val="none"/>
          <w:lang w:val="en-US" w:eastAsia="zh-CN"/>
        </w:rPr>
        <w:instrText xml:space="preserve"> HYPERLINK \l _Toc20703 </w:instrText>
      </w:r>
      <w:r>
        <w:rPr>
          <w:rFonts w:hint="eastAsia" w:ascii="仿宋_GB2312" w:hAnsi="仿宋_GB2312" w:eastAsia="仿宋_GB2312" w:cs="仿宋_GB2312"/>
          <w:b w:val="0"/>
          <w:bCs w:val="0"/>
          <w:color w:val="auto"/>
          <w:sz w:val="28"/>
          <w:szCs w:val="28"/>
          <w:highlight w:val="none"/>
          <w:lang w:val="en-US" w:eastAsia="zh-CN"/>
        </w:rPr>
        <w:fldChar w:fldCharType="separate"/>
      </w:r>
      <w:r>
        <w:rPr>
          <w:rFonts w:hint="eastAsia" w:ascii="仿宋_GB2312" w:hAnsi="仿宋_GB2312" w:eastAsia="仿宋_GB2312" w:cs="仿宋_GB2312"/>
          <w:b w:val="0"/>
          <w:bCs w:val="0"/>
          <w:color w:val="auto"/>
          <w:sz w:val="28"/>
          <w:szCs w:val="28"/>
          <w:highlight w:val="none"/>
          <w:lang w:val="en-US" w:eastAsia="zh-CN"/>
        </w:rPr>
        <w:t>第四章 合格供方的奖惩和退出机制</w:t>
      </w:r>
      <w:r>
        <w:rPr>
          <w:rFonts w:hint="eastAsia" w:ascii="仿宋_GB2312" w:hAnsi="仿宋_GB2312" w:eastAsia="仿宋_GB2312" w:cs="仿宋_GB2312"/>
          <w:b w:val="0"/>
          <w:bCs w:val="0"/>
          <w:color w:val="auto"/>
          <w:sz w:val="28"/>
          <w:szCs w:val="28"/>
          <w:highlight w:val="none"/>
          <w:lang w:val="en-US" w:eastAsia="zh-CN"/>
        </w:rPr>
        <w:tab/>
      </w:r>
      <w:r>
        <w:rPr>
          <w:rFonts w:hint="eastAsia" w:ascii="仿宋_GB2312" w:hAnsi="仿宋_GB2312" w:eastAsia="仿宋_GB2312" w:cs="仿宋_GB2312"/>
          <w:b w:val="0"/>
          <w:bCs w:val="0"/>
          <w:color w:val="auto"/>
          <w:sz w:val="28"/>
          <w:szCs w:val="28"/>
          <w:highlight w:val="none"/>
          <w:lang w:val="en-US" w:eastAsia="zh-CN"/>
        </w:rPr>
        <w:t>2</w:t>
      </w:r>
      <w:r>
        <w:rPr>
          <w:rFonts w:hint="eastAsia" w:ascii="仿宋_GB2312" w:hAnsi="仿宋_GB2312" w:eastAsia="仿宋_GB2312" w:cs="仿宋_GB2312"/>
          <w:b w:val="0"/>
          <w:bCs w:val="0"/>
          <w:color w:val="auto"/>
          <w:sz w:val="28"/>
          <w:szCs w:val="28"/>
          <w:highlight w:val="none"/>
          <w:lang w:val="en-US" w:eastAsia="zh-CN"/>
        </w:rPr>
        <w:fldChar w:fldCharType="end"/>
      </w:r>
      <w:r>
        <w:rPr>
          <w:rFonts w:hint="eastAsia" w:ascii="仿宋_GB2312" w:hAnsi="仿宋_GB2312" w:eastAsia="仿宋_GB2312" w:cs="仿宋_GB2312"/>
          <w:b w:val="0"/>
          <w:bCs w:val="0"/>
          <w:color w:val="auto"/>
          <w:sz w:val="28"/>
          <w:szCs w:val="28"/>
          <w:highlight w:val="none"/>
          <w:lang w:val="en-US" w:eastAsia="zh-CN"/>
        </w:rPr>
        <w:t>8</w:t>
      </w:r>
    </w:p>
    <w:p>
      <w:pPr>
        <w:pStyle w:val="7"/>
        <w:tabs>
          <w:tab w:val="right" w:leader="dot" w:pos="8306"/>
        </w:tabs>
        <w:rPr>
          <w:rFonts w:hint="eastAsia" w:ascii="仿宋_GB2312" w:hAnsi="仿宋_GB2312" w:eastAsia="仿宋_GB2312" w:cs="仿宋_GB2312"/>
          <w:b w:val="0"/>
          <w:bCs w:val="0"/>
          <w:color w:val="auto"/>
          <w:sz w:val="28"/>
          <w:szCs w:val="28"/>
          <w:highlight w:val="none"/>
          <w:lang w:val="en-US" w:eastAsia="zh-CN"/>
        </w:rPr>
      </w:pPr>
      <w:r>
        <w:rPr>
          <w:rFonts w:hint="eastAsia" w:ascii="仿宋_GB2312" w:hAnsi="仿宋_GB2312" w:eastAsia="仿宋_GB2312" w:cs="仿宋_GB2312"/>
          <w:b w:val="0"/>
          <w:bCs w:val="0"/>
          <w:color w:val="auto"/>
          <w:sz w:val="28"/>
          <w:szCs w:val="28"/>
          <w:highlight w:val="none"/>
          <w:lang w:val="en-US" w:eastAsia="zh-CN"/>
        </w:rPr>
        <w:t>附件：</w:t>
      </w:r>
    </w:p>
    <w:p>
      <w:pPr>
        <w:pStyle w:val="7"/>
        <w:tabs>
          <w:tab w:val="right" w:leader="dot" w:pos="8306"/>
        </w:tabs>
        <w:rPr>
          <w:rFonts w:hint="eastAsia" w:ascii="仿宋_GB2312" w:hAnsi="仿宋_GB2312" w:eastAsia="仿宋_GB2312" w:cs="仿宋_GB2312"/>
          <w:b w:val="0"/>
          <w:bCs w:val="0"/>
          <w:color w:val="auto"/>
          <w:sz w:val="28"/>
          <w:szCs w:val="28"/>
          <w:highlight w:val="none"/>
        </w:rPr>
      </w:pPr>
      <w:r>
        <w:rPr>
          <w:rFonts w:hint="eastAsia" w:ascii="仿宋_GB2312" w:hAnsi="仿宋_GB2312" w:eastAsia="仿宋_GB2312" w:cs="仿宋_GB2312"/>
          <w:b w:val="0"/>
          <w:bCs w:val="0"/>
          <w:color w:val="auto"/>
          <w:sz w:val="28"/>
          <w:szCs w:val="28"/>
          <w:highlight w:val="none"/>
          <w:lang w:val="en-US" w:eastAsia="zh-CN"/>
        </w:rPr>
        <w:t xml:space="preserve">  </w:t>
      </w:r>
      <w:r>
        <w:rPr>
          <w:rFonts w:hint="eastAsia" w:ascii="仿宋_GB2312" w:hAnsi="仿宋_GB2312" w:eastAsia="仿宋_GB2312" w:cs="仿宋_GB2312"/>
          <w:b w:val="0"/>
          <w:bCs w:val="0"/>
          <w:color w:val="auto"/>
          <w:sz w:val="28"/>
          <w:szCs w:val="28"/>
          <w:highlight w:val="none"/>
          <w:lang w:val="en-US" w:eastAsia="zh-CN"/>
        </w:rPr>
        <w:fldChar w:fldCharType="begin"/>
      </w:r>
      <w:r>
        <w:rPr>
          <w:rFonts w:hint="eastAsia" w:ascii="仿宋_GB2312" w:hAnsi="仿宋_GB2312" w:eastAsia="仿宋_GB2312" w:cs="仿宋_GB2312"/>
          <w:b w:val="0"/>
          <w:bCs w:val="0"/>
          <w:color w:val="auto"/>
          <w:sz w:val="28"/>
          <w:szCs w:val="28"/>
          <w:highlight w:val="none"/>
          <w:lang w:val="en-US" w:eastAsia="zh-CN"/>
        </w:rPr>
        <w:instrText xml:space="preserve"> HYPERLINK \l _Toc27450 </w:instrText>
      </w:r>
      <w:r>
        <w:rPr>
          <w:rFonts w:hint="eastAsia" w:ascii="仿宋_GB2312" w:hAnsi="仿宋_GB2312" w:eastAsia="仿宋_GB2312" w:cs="仿宋_GB2312"/>
          <w:b w:val="0"/>
          <w:bCs w:val="0"/>
          <w:color w:val="auto"/>
          <w:sz w:val="28"/>
          <w:szCs w:val="28"/>
          <w:highlight w:val="none"/>
          <w:lang w:val="en-US" w:eastAsia="zh-CN"/>
        </w:rPr>
        <w:fldChar w:fldCharType="separate"/>
      </w:r>
      <w:r>
        <w:rPr>
          <w:rFonts w:hint="eastAsia" w:ascii="仿宋_GB2312" w:hAnsi="仿宋_GB2312" w:eastAsia="仿宋_GB2312" w:cs="仿宋_GB2312"/>
          <w:b w:val="0"/>
          <w:bCs w:val="0"/>
          <w:color w:val="auto"/>
          <w:sz w:val="28"/>
          <w:szCs w:val="28"/>
          <w:highlight w:val="none"/>
          <w:lang w:val="en-US" w:eastAsia="zh-CN"/>
        </w:rPr>
        <w:t>1、 日常清洁服务招标文件示范文本（2017版）</w:t>
      </w:r>
      <w:r>
        <w:rPr>
          <w:rFonts w:hint="eastAsia" w:ascii="仿宋_GB2312" w:hAnsi="仿宋_GB2312" w:eastAsia="仿宋_GB2312" w:cs="仿宋_GB2312"/>
          <w:b w:val="0"/>
          <w:bCs w:val="0"/>
          <w:color w:val="auto"/>
          <w:sz w:val="28"/>
          <w:szCs w:val="28"/>
          <w:highlight w:val="none"/>
          <w:lang w:val="en-US" w:eastAsia="zh-CN"/>
        </w:rPr>
        <w:fldChar w:fldCharType="end"/>
      </w:r>
    </w:p>
    <w:p>
      <w:pPr>
        <w:pStyle w:val="7"/>
        <w:tabs>
          <w:tab w:val="right" w:leader="dot" w:pos="8306"/>
        </w:tabs>
        <w:rPr>
          <w:rFonts w:hint="eastAsia" w:ascii="仿宋_GB2312" w:hAnsi="仿宋_GB2312" w:eastAsia="仿宋_GB2312" w:cs="仿宋_GB2312"/>
          <w:b w:val="0"/>
          <w:bCs w:val="0"/>
          <w:color w:val="auto"/>
          <w:sz w:val="28"/>
          <w:szCs w:val="28"/>
          <w:highlight w:val="none"/>
        </w:rPr>
      </w:pPr>
      <w:r>
        <w:rPr>
          <w:rFonts w:hint="eastAsia" w:ascii="仿宋_GB2312" w:hAnsi="仿宋_GB2312" w:eastAsia="仿宋_GB2312" w:cs="仿宋_GB2312"/>
          <w:b w:val="0"/>
          <w:bCs w:val="0"/>
          <w:color w:val="auto"/>
          <w:sz w:val="28"/>
          <w:szCs w:val="28"/>
          <w:highlight w:val="none"/>
          <w:lang w:val="en-US" w:eastAsia="zh-CN"/>
        </w:rPr>
        <w:t xml:space="preserve">  </w:t>
      </w:r>
      <w:r>
        <w:rPr>
          <w:rFonts w:hint="eastAsia" w:ascii="仿宋_GB2312" w:hAnsi="仿宋_GB2312" w:eastAsia="仿宋_GB2312" w:cs="仿宋_GB2312"/>
          <w:b w:val="0"/>
          <w:bCs w:val="0"/>
          <w:color w:val="auto"/>
          <w:sz w:val="28"/>
          <w:szCs w:val="28"/>
          <w:highlight w:val="none"/>
          <w:lang w:val="en-US" w:eastAsia="zh-CN"/>
        </w:rPr>
        <w:fldChar w:fldCharType="begin"/>
      </w:r>
      <w:r>
        <w:rPr>
          <w:rFonts w:hint="eastAsia" w:ascii="仿宋_GB2312" w:hAnsi="仿宋_GB2312" w:eastAsia="仿宋_GB2312" w:cs="仿宋_GB2312"/>
          <w:b w:val="0"/>
          <w:bCs w:val="0"/>
          <w:color w:val="auto"/>
          <w:sz w:val="28"/>
          <w:szCs w:val="28"/>
          <w:highlight w:val="none"/>
          <w:lang w:val="en-US" w:eastAsia="zh-CN"/>
        </w:rPr>
        <w:instrText xml:space="preserve"> HYPERLINK \l _Toc22596 </w:instrText>
      </w:r>
      <w:r>
        <w:rPr>
          <w:rFonts w:hint="eastAsia" w:ascii="仿宋_GB2312" w:hAnsi="仿宋_GB2312" w:eastAsia="仿宋_GB2312" w:cs="仿宋_GB2312"/>
          <w:b w:val="0"/>
          <w:bCs w:val="0"/>
          <w:color w:val="auto"/>
          <w:sz w:val="28"/>
          <w:szCs w:val="28"/>
          <w:highlight w:val="none"/>
          <w:lang w:val="en-US" w:eastAsia="zh-CN"/>
        </w:rPr>
        <w:fldChar w:fldCharType="separate"/>
      </w:r>
      <w:r>
        <w:rPr>
          <w:rFonts w:hint="eastAsia" w:ascii="仿宋_GB2312" w:hAnsi="仿宋_GB2312" w:eastAsia="仿宋_GB2312" w:cs="仿宋_GB2312"/>
          <w:b w:val="0"/>
          <w:bCs w:val="0"/>
          <w:color w:val="auto"/>
          <w:sz w:val="28"/>
          <w:szCs w:val="28"/>
          <w:highlight w:val="none"/>
          <w:lang w:val="en-US" w:eastAsia="zh-CN"/>
        </w:rPr>
        <w:t>2、 园区日常保洁服务委托合同（2017版）</w:t>
      </w:r>
      <w:r>
        <w:rPr>
          <w:rFonts w:hint="eastAsia" w:ascii="仿宋_GB2312" w:hAnsi="仿宋_GB2312" w:eastAsia="仿宋_GB2312" w:cs="仿宋_GB2312"/>
          <w:b w:val="0"/>
          <w:bCs w:val="0"/>
          <w:color w:val="auto"/>
          <w:sz w:val="28"/>
          <w:szCs w:val="28"/>
          <w:highlight w:val="none"/>
          <w:lang w:val="en-US" w:eastAsia="zh-CN"/>
        </w:rPr>
        <w:fldChar w:fldCharType="end"/>
      </w:r>
    </w:p>
    <w:p>
      <w:pPr>
        <w:pStyle w:val="7"/>
        <w:tabs>
          <w:tab w:val="right" w:leader="dot" w:pos="8306"/>
        </w:tabs>
        <w:rPr>
          <w:rFonts w:hint="eastAsia" w:ascii="仿宋_GB2312" w:hAnsi="仿宋_GB2312" w:eastAsia="仿宋_GB2312" w:cs="仿宋_GB2312"/>
          <w:b w:val="0"/>
          <w:bCs w:val="0"/>
          <w:color w:val="auto"/>
          <w:sz w:val="28"/>
          <w:szCs w:val="28"/>
          <w:highlight w:val="none"/>
        </w:rPr>
      </w:pPr>
      <w:r>
        <w:rPr>
          <w:rFonts w:hint="eastAsia" w:ascii="仿宋_GB2312" w:hAnsi="仿宋_GB2312" w:eastAsia="仿宋_GB2312" w:cs="仿宋_GB2312"/>
          <w:b w:val="0"/>
          <w:bCs w:val="0"/>
          <w:color w:val="auto"/>
          <w:sz w:val="28"/>
          <w:szCs w:val="28"/>
          <w:highlight w:val="none"/>
          <w:lang w:val="en-US" w:eastAsia="zh-CN"/>
        </w:rPr>
        <w:t xml:space="preserve">  </w:t>
      </w:r>
      <w:r>
        <w:rPr>
          <w:rFonts w:hint="eastAsia" w:ascii="仿宋_GB2312" w:hAnsi="仿宋_GB2312" w:eastAsia="仿宋_GB2312" w:cs="仿宋_GB2312"/>
          <w:b w:val="0"/>
          <w:bCs w:val="0"/>
          <w:color w:val="auto"/>
          <w:sz w:val="28"/>
          <w:szCs w:val="28"/>
          <w:highlight w:val="none"/>
          <w:lang w:val="en-US" w:eastAsia="zh-CN"/>
        </w:rPr>
        <w:fldChar w:fldCharType="begin"/>
      </w:r>
      <w:r>
        <w:rPr>
          <w:rFonts w:hint="eastAsia" w:ascii="仿宋_GB2312" w:hAnsi="仿宋_GB2312" w:eastAsia="仿宋_GB2312" w:cs="仿宋_GB2312"/>
          <w:b w:val="0"/>
          <w:bCs w:val="0"/>
          <w:color w:val="auto"/>
          <w:sz w:val="28"/>
          <w:szCs w:val="28"/>
          <w:highlight w:val="none"/>
          <w:lang w:val="en-US" w:eastAsia="zh-CN"/>
        </w:rPr>
        <w:instrText xml:space="preserve"> HYPERLINK \l _Toc31551 </w:instrText>
      </w:r>
      <w:r>
        <w:rPr>
          <w:rFonts w:hint="eastAsia" w:ascii="仿宋_GB2312" w:hAnsi="仿宋_GB2312" w:eastAsia="仿宋_GB2312" w:cs="仿宋_GB2312"/>
          <w:b w:val="0"/>
          <w:bCs w:val="0"/>
          <w:color w:val="auto"/>
          <w:sz w:val="28"/>
          <w:szCs w:val="28"/>
          <w:highlight w:val="none"/>
          <w:lang w:val="en-US" w:eastAsia="zh-CN"/>
        </w:rPr>
        <w:fldChar w:fldCharType="separate"/>
      </w:r>
      <w:r>
        <w:rPr>
          <w:rFonts w:hint="eastAsia" w:ascii="仿宋_GB2312" w:hAnsi="仿宋_GB2312" w:eastAsia="仿宋_GB2312" w:cs="仿宋_GB2312"/>
          <w:b w:val="0"/>
          <w:bCs w:val="0"/>
          <w:color w:val="auto"/>
          <w:sz w:val="28"/>
          <w:szCs w:val="28"/>
          <w:highlight w:val="none"/>
          <w:lang w:val="en-US" w:eastAsia="zh-CN"/>
        </w:rPr>
        <w:t>3、 售楼处日常保洁服务委托合同（2017版）</w:t>
      </w:r>
      <w:r>
        <w:rPr>
          <w:rFonts w:hint="eastAsia" w:ascii="仿宋_GB2312" w:hAnsi="仿宋_GB2312" w:eastAsia="仿宋_GB2312" w:cs="仿宋_GB2312"/>
          <w:b w:val="0"/>
          <w:bCs w:val="0"/>
          <w:color w:val="auto"/>
          <w:sz w:val="28"/>
          <w:szCs w:val="28"/>
          <w:highlight w:val="none"/>
        </w:rPr>
        <w:fldChar w:fldCharType="begin"/>
      </w:r>
      <w:r>
        <w:rPr>
          <w:rFonts w:hint="eastAsia" w:ascii="仿宋_GB2312" w:hAnsi="仿宋_GB2312" w:eastAsia="仿宋_GB2312" w:cs="仿宋_GB2312"/>
          <w:b w:val="0"/>
          <w:bCs w:val="0"/>
          <w:color w:val="auto"/>
          <w:sz w:val="28"/>
          <w:szCs w:val="28"/>
          <w:highlight w:val="none"/>
        </w:rPr>
        <w:instrText xml:space="preserve"> PAGEREF _Toc31551 </w:instrText>
      </w:r>
      <w:r>
        <w:rPr>
          <w:rFonts w:hint="eastAsia" w:ascii="仿宋_GB2312" w:hAnsi="仿宋_GB2312" w:eastAsia="仿宋_GB2312" w:cs="仿宋_GB2312"/>
          <w:b w:val="0"/>
          <w:bCs w:val="0"/>
          <w:color w:val="auto"/>
          <w:sz w:val="28"/>
          <w:szCs w:val="28"/>
          <w:highlight w:val="none"/>
        </w:rPr>
        <w:fldChar w:fldCharType="separate"/>
      </w:r>
      <w:r>
        <w:rPr>
          <w:rFonts w:hint="eastAsia" w:ascii="仿宋_GB2312" w:hAnsi="仿宋_GB2312" w:eastAsia="仿宋_GB2312" w:cs="仿宋_GB2312"/>
          <w:b w:val="0"/>
          <w:bCs w:val="0"/>
          <w:color w:val="auto"/>
          <w:sz w:val="28"/>
          <w:szCs w:val="28"/>
          <w:highlight w:val="none"/>
        </w:rPr>
        <w:fldChar w:fldCharType="end"/>
      </w:r>
      <w:r>
        <w:rPr>
          <w:rFonts w:hint="eastAsia" w:ascii="仿宋_GB2312" w:hAnsi="仿宋_GB2312" w:eastAsia="仿宋_GB2312" w:cs="仿宋_GB2312"/>
          <w:b w:val="0"/>
          <w:bCs w:val="0"/>
          <w:color w:val="auto"/>
          <w:sz w:val="28"/>
          <w:szCs w:val="28"/>
          <w:highlight w:val="none"/>
          <w:lang w:val="en-US" w:eastAsia="zh-CN"/>
        </w:rPr>
        <w:fldChar w:fldCharType="end"/>
      </w:r>
    </w:p>
    <w:p>
      <w:pPr>
        <w:pStyle w:val="7"/>
        <w:tabs>
          <w:tab w:val="right" w:leader="dot" w:pos="8306"/>
        </w:tabs>
        <w:rPr>
          <w:rFonts w:hint="eastAsia" w:ascii="仿宋_GB2312" w:hAnsi="仿宋_GB2312" w:eastAsia="仿宋_GB2312" w:cs="仿宋_GB2312"/>
          <w:b w:val="0"/>
          <w:bCs w:val="0"/>
          <w:color w:val="auto"/>
          <w:sz w:val="28"/>
          <w:szCs w:val="28"/>
          <w:highlight w:val="none"/>
        </w:rPr>
      </w:pPr>
      <w:r>
        <w:rPr>
          <w:rFonts w:hint="eastAsia" w:ascii="仿宋_GB2312" w:hAnsi="仿宋_GB2312" w:eastAsia="仿宋_GB2312" w:cs="仿宋_GB2312"/>
          <w:b w:val="0"/>
          <w:bCs w:val="0"/>
          <w:color w:val="auto"/>
          <w:sz w:val="28"/>
          <w:szCs w:val="28"/>
          <w:highlight w:val="none"/>
          <w:lang w:val="en-US" w:eastAsia="zh-CN"/>
        </w:rPr>
        <w:t xml:space="preserve">  </w:t>
      </w:r>
      <w:r>
        <w:rPr>
          <w:rFonts w:hint="eastAsia" w:ascii="仿宋_GB2312" w:hAnsi="仿宋_GB2312" w:eastAsia="仿宋_GB2312" w:cs="仿宋_GB2312"/>
          <w:b w:val="0"/>
          <w:bCs w:val="0"/>
          <w:color w:val="auto"/>
          <w:sz w:val="28"/>
          <w:szCs w:val="28"/>
          <w:highlight w:val="none"/>
          <w:lang w:val="en-US" w:eastAsia="zh-CN"/>
        </w:rPr>
        <w:fldChar w:fldCharType="begin"/>
      </w:r>
      <w:r>
        <w:rPr>
          <w:rFonts w:hint="eastAsia" w:ascii="仿宋_GB2312" w:hAnsi="仿宋_GB2312" w:eastAsia="仿宋_GB2312" w:cs="仿宋_GB2312"/>
          <w:b w:val="0"/>
          <w:bCs w:val="0"/>
          <w:color w:val="auto"/>
          <w:sz w:val="28"/>
          <w:szCs w:val="28"/>
          <w:highlight w:val="none"/>
          <w:lang w:val="en-US" w:eastAsia="zh-CN"/>
        </w:rPr>
        <w:instrText xml:space="preserve"> HYPERLINK \l _Toc29368 </w:instrText>
      </w:r>
      <w:r>
        <w:rPr>
          <w:rFonts w:hint="eastAsia" w:ascii="仿宋_GB2312" w:hAnsi="仿宋_GB2312" w:eastAsia="仿宋_GB2312" w:cs="仿宋_GB2312"/>
          <w:b w:val="0"/>
          <w:bCs w:val="0"/>
          <w:color w:val="auto"/>
          <w:sz w:val="28"/>
          <w:szCs w:val="28"/>
          <w:highlight w:val="none"/>
          <w:lang w:val="en-US" w:eastAsia="zh-CN"/>
        </w:rPr>
        <w:fldChar w:fldCharType="separate"/>
      </w:r>
      <w:r>
        <w:rPr>
          <w:rFonts w:hint="eastAsia" w:ascii="仿宋_GB2312" w:hAnsi="仿宋_GB2312" w:eastAsia="仿宋_GB2312" w:cs="仿宋_GB2312"/>
          <w:b w:val="0"/>
          <w:bCs w:val="0"/>
          <w:color w:val="auto"/>
          <w:sz w:val="28"/>
          <w:szCs w:val="28"/>
          <w:highlight w:val="none"/>
          <w:lang w:val="en-US" w:eastAsia="zh-CN"/>
        </w:rPr>
        <w:t>4、 生活垃圾清运服务合同（2016版）</w:t>
      </w:r>
      <w:r>
        <w:rPr>
          <w:rFonts w:hint="eastAsia" w:ascii="仿宋_GB2312" w:hAnsi="仿宋_GB2312" w:eastAsia="仿宋_GB2312" w:cs="仿宋_GB2312"/>
          <w:b w:val="0"/>
          <w:bCs w:val="0"/>
          <w:color w:val="auto"/>
          <w:sz w:val="28"/>
          <w:szCs w:val="28"/>
          <w:highlight w:val="none"/>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outlineLvl w:val="9"/>
        <w:rPr>
          <w:rFonts w:hint="eastAsia" w:ascii="仿宋_GB2312" w:hAnsi="仿宋_GB2312" w:eastAsia="仿宋_GB2312" w:cs="仿宋_GB2312"/>
          <w:b/>
          <w:bCs/>
          <w:color w:val="auto"/>
          <w:sz w:val="36"/>
          <w:szCs w:val="36"/>
          <w:highlight w:val="none"/>
          <w:lang w:val="en-US" w:eastAsia="zh-CN"/>
        </w:rPr>
      </w:pPr>
      <w:r>
        <w:rPr>
          <w:rFonts w:hint="eastAsia" w:ascii="仿宋_GB2312" w:hAnsi="仿宋_GB2312" w:eastAsia="仿宋_GB2312" w:cs="仿宋_GB2312"/>
          <w:b/>
          <w:bCs/>
          <w:color w:val="auto"/>
          <w:sz w:val="28"/>
          <w:szCs w:val="28"/>
          <w:highlight w:val="none"/>
          <w:lang w:val="en-US" w:eastAsia="zh-CN"/>
        </w:rPr>
        <w:fldChar w:fldCharType="end"/>
      </w:r>
    </w:p>
    <w:p>
      <w:pPr>
        <w:numPr>
          <w:ilvl w:val="0"/>
          <w:numId w:val="0"/>
        </w:numPr>
        <w:ind w:left="420" w:leftChars="0"/>
        <w:rPr>
          <w:rFonts w:hint="eastAsia" w:ascii="仿宋_GB2312" w:hAnsi="仿宋_GB2312" w:eastAsia="仿宋_GB2312" w:cs="仿宋_GB2312"/>
          <w:b/>
          <w:bCs/>
          <w:color w:val="auto"/>
          <w:sz w:val="32"/>
          <w:szCs w:val="32"/>
          <w:highlight w:val="none"/>
          <w:lang w:eastAsia="zh-CN"/>
        </w:rPr>
      </w:pPr>
    </w:p>
    <w:p>
      <w:pPr>
        <w:numPr>
          <w:ilvl w:val="0"/>
          <w:numId w:val="0"/>
        </w:numPr>
        <w:ind w:left="420" w:leftChars="0"/>
        <w:rPr>
          <w:rFonts w:hint="eastAsia" w:ascii="仿宋_GB2312" w:hAnsi="仿宋_GB2312" w:eastAsia="仿宋_GB2312" w:cs="仿宋_GB2312"/>
          <w:b/>
          <w:bCs/>
          <w:color w:val="auto"/>
          <w:sz w:val="32"/>
          <w:szCs w:val="32"/>
          <w:highlight w:val="none"/>
          <w:lang w:eastAsia="zh-CN"/>
        </w:rPr>
      </w:pPr>
    </w:p>
    <w:p>
      <w:pPr>
        <w:numPr>
          <w:ilvl w:val="0"/>
          <w:numId w:val="0"/>
        </w:numPr>
        <w:ind w:left="420" w:leftChars="0"/>
        <w:rPr>
          <w:rFonts w:hint="eastAsia" w:ascii="仿宋_GB2312" w:hAnsi="仿宋_GB2312" w:eastAsia="仿宋_GB2312" w:cs="仿宋_GB2312"/>
          <w:b/>
          <w:bCs/>
          <w:color w:val="auto"/>
          <w:sz w:val="32"/>
          <w:szCs w:val="32"/>
          <w:highlight w:val="none"/>
          <w:lang w:eastAsia="zh-CN"/>
        </w:rPr>
      </w:pPr>
    </w:p>
    <w:p>
      <w:pPr>
        <w:numPr>
          <w:ilvl w:val="0"/>
          <w:numId w:val="0"/>
        </w:numPr>
        <w:ind w:left="420" w:leftChars="0"/>
        <w:rPr>
          <w:rFonts w:hint="eastAsia" w:ascii="仿宋_GB2312" w:hAnsi="仿宋_GB2312" w:eastAsia="仿宋_GB2312" w:cs="仿宋_GB2312"/>
          <w:b/>
          <w:bCs/>
          <w:color w:val="auto"/>
          <w:sz w:val="32"/>
          <w:szCs w:val="32"/>
          <w:highlight w:val="none"/>
          <w:lang w:eastAsia="zh-CN"/>
        </w:rPr>
      </w:pPr>
    </w:p>
    <w:p>
      <w:pPr>
        <w:numPr>
          <w:ilvl w:val="0"/>
          <w:numId w:val="0"/>
        </w:numPr>
        <w:ind w:left="420" w:leftChars="0"/>
        <w:rPr>
          <w:rFonts w:hint="eastAsia" w:ascii="仿宋_GB2312" w:hAnsi="仿宋_GB2312" w:eastAsia="仿宋_GB2312" w:cs="仿宋_GB2312"/>
          <w:b/>
          <w:bCs/>
          <w:color w:val="auto"/>
          <w:sz w:val="32"/>
          <w:szCs w:val="32"/>
          <w:highlight w:val="none"/>
          <w:lang w:eastAsia="zh-CN"/>
        </w:rPr>
      </w:pPr>
    </w:p>
    <w:p>
      <w:pPr>
        <w:numPr>
          <w:ilvl w:val="0"/>
          <w:numId w:val="0"/>
        </w:numPr>
        <w:ind w:left="420" w:leftChars="0"/>
        <w:rPr>
          <w:rFonts w:hint="eastAsia" w:ascii="仿宋_GB2312" w:hAnsi="仿宋_GB2312" w:eastAsia="仿宋_GB2312" w:cs="仿宋_GB2312"/>
          <w:b/>
          <w:bCs/>
          <w:color w:val="auto"/>
          <w:sz w:val="32"/>
          <w:szCs w:val="32"/>
          <w:highlight w:val="none"/>
          <w:lang w:eastAsia="zh-CN"/>
        </w:rPr>
      </w:pPr>
    </w:p>
    <w:p>
      <w:pPr>
        <w:numPr>
          <w:ilvl w:val="0"/>
          <w:numId w:val="0"/>
        </w:numPr>
        <w:ind w:left="420" w:leftChars="0"/>
        <w:rPr>
          <w:rFonts w:hint="eastAsia" w:ascii="仿宋_GB2312" w:hAnsi="仿宋_GB2312" w:eastAsia="仿宋_GB2312" w:cs="仿宋_GB2312"/>
          <w:b/>
          <w:bCs/>
          <w:color w:val="auto"/>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outlineLvl w:val="9"/>
        <w:rPr>
          <w:rFonts w:hint="eastAsia" w:ascii="仿宋_GB2312" w:hAnsi="仿宋_GB2312" w:eastAsia="仿宋_GB2312" w:cs="仿宋_GB2312"/>
          <w:b/>
          <w:bCs/>
          <w:color w:val="auto"/>
          <w:sz w:val="36"/>
          <w:szCs w:val="36"/>
          <w:highlight w:val="none"/>
          <w:lang w:val="en-US" w:eastAsia="zh-CN"/>
        </w:rPr>
        <w:sectPr>
          <w:footerReference r:id="rId4" w:type="default"/>
          <w:pgSz w:w="11906" w:h="16838"/>
          <w:pgMar w:top="1440" w:right="1800" w:bottom="1440" w:left="1800" w:header="851" w:footer="992" w:gutter="0"/>
          <w:pgNumType w:fmt="numberInDash"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outlineLvl w:val="9"/>
        <w:rPr>
          <w:rFonts w:hint="eastAsia" w:ascii="仿宋_GB2312" w:hAnsi="仿宋_GB2312" w:eastAsia="仿宋_GB2312" w:cs="仿宋_GB2312"/>
          <w:b/>
          <w:bCs/>
          <w:color w:val="auto"/>
          <w:sz w:val="36"/>
          <w:szCs w:val="36"/>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outlineLvl w:val="0"/>
        <w:rPr>
          <w:rFonts w:hint="eastAsia" w:ascii="仿宋_GB2312" w:hAnsi="仿宋_GB2312" w:eastAsia="仿宋_GB2312" w:cs="仿宋_GB2312"/>
          <w:b/>
          <w:bCs/>
          <w:color w:val="auto"/>
          <w:sz w:val="36"/>
          <w:szCs w:val="36"/>
          <w:highlight w:val="none"/>
          <w:u w:val="none"/>
          <w:lang w:eastAsia="zh-CN"/>
        </w:rPr>
      </w:pPr>
      <w:bookmarkStart w:id="0" w:name="_Toc20226"/>
      <w:r>
        <w:rPr>
          <w:rFonts w:hint="eastAsia" w:ascii="仿宋_GB2312" w:hAnsi="仿宋_GB2312" w:eastAsia="仿宋_GB2312" w:cs="仿宋_GB2312"/>
          <w:b/>
          <w:bCs/>
          <w:color w:val="auto"/>
          <w:sz w:val="36"/>
          <w:szCs w:val="36"/>
          <w:highlight w:val="none"/>
          <w:lang w:val="en-US" w:eastAsia="zh-CN"/>
        </w:rPr>
        <w:t>第一章 日常清洁合格供方审核标准</w:t>
      </w:r>
      <w:bookmarkEnd w:id="0"/>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outlineLvl w:val="9"/>
        <w:rPr>
          <w:rFonts w:hint="eastAsia" w:ascii="仿宋_GB2312" w:hAnsi="仿宋_GB2312" w:eastAsia="仿宋_GB2312" w:cs="仿宋_GB2312"/>
          <w:color w:val="auto"/>
          <w:sz w:val="32"/>
          <w:szCs w:val="32"/>
          <w:highlight w:val="none"/>
        </w:rPr>
      </w:pP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简介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20" w:firstLineChars="0"/>
        <w:jc w:val="left"/>
        <w:textAlignment w:val="auto"/>
        <w:outlineLvl w:val="9"/>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制定本审核标准和评分制度旨在对服务供方在评估表格所提供资料和附上的文件副本做客观性评价。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20" w:firstLineChars="0"/>
        <w:jc w:val="left"/>
        <w:textAlignment w:val="auto"/>
        <w:outlineLvl w:val="9"/>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评估成绩可做为衡量申请者能否提供满意服务的定位指标，用以评价申请者的资源、能力和专业程度等。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20" w:firstLineChars="0"/>
        <w:jc w:val="left"/>
        <w:textAlignment w:val="auto"/>
        <w:outlineLvl w:val="9"/>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申请者要将一切所需资料，文件副本与一张填好的服务供方评估表格交所在项目的物业服务中心，做为初步审查。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审核要素</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420" w:firstLineChars="150"/>
        <w:jc w:val="left"/>
        <w:textAlignment w:val="auto"/>
        <w:outlineLvl w:val="9"/>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营业登记；</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420" w:firstLineChars="150"/>
        <w:jc w:val="left"/>
        <w:textAlignment w:val="auto"/>
        <w:outlineLvl w:val="9"/>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保险安排；</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420" w:firstLineChars="150"/>
        <w:jc w:val="left"/>
        <w:textAlignment w:val="auto"/>
        <w:outlineLvl w:val="9"/>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参考业绩；</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420" w:firstLineChars="150"/>
        <w:jc w:val="left"/>
        <w:textAlignment w:val="auto"/>
        <w:outlineLvl w:val="9"/>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公司三年内服务的项目情况；</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420" w:firstLineChars="150"/>
        <w:jc w:val="left"/>
        <w:textAlignment w:val="auto"/>
        <w:outlineLvl w:val="9"/>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质量管理系统；</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420" w:firstLineChars="150"/>
        <w:jc w:val="left"/>
        <w:textAlignment w:val="auto"/>
        <w:outlineLvl w:val="9"/>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接获政府部门委托清洁服务；</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420" w:firstLineChars="150"/>
        <w:jc w:val="left"/>
        <w:textAlignment w:val="auto"/>
        <w:outlineLvl w:val="9"/>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为中铁建物业提供清洁服务情况；</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420" w:firstLineChars="150"/>
        <w:jc w:val="left"/>
        <w:textAlignment w:val="auto"/>
        <w:outlineLvl w:val="9"/>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现场管理服务情况（仅限未曾与我司合作过的企业评分）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lang w:val="en-US" w:eastAsia="zh-CN"/>
        </w:rPr>
      </w:pP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评分制度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20" w:firstLine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lang w:val="en-US" w:eastAsia="zh-CN"/>
        </w:rPr>
        <w:t>以上每一要素都有分值，</w:t>
      </w:r>
      <w:r>
        <w:rPr>
          <w:rFonts w:hint="eastAsia" w:ascii="仿宋_GB2312" w:hAnsi="仿宋_GB2312" w:eastAsia="仿宋_GB2312" w:cs="仿宋_GB2312"/>
          <w:color w:val="auto"/>
          <w:sz w:val="28"/>
          <w:szCs w:val="28"/>
          <w:highlight w:val="none"/>
          <w:u w:val="none"/>
          <w:lang w:val="en-US" w:eastAsia="zh-CN"/>
        </w:rPr>
        <w:t>达到65分或以上，申请者可成为合格服务供方。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四、评分标准</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营业登记（10分）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u w:val="none"/>
          <w:lang w:val="en-US" w:eastAsia="zh-CN"/>
        </w:rPr>
        <w:t xml:space="preserve"> </w:t>
      </w:r>
      <w:r>
        <w:rPr>
          <w:rFonts w:hint="eastAsia" w:ascii="仿宋_GB2312" w:hAnsi="仿宋_GB2312" w:eastAsia="仿宋_GB2312" w:cs="仿宋_GB2312"/>
          <w:color w:val="auto"/>
          <w:sz w:val="28"/>
          <w:szCs w:val="28"/>
          <w:highlight w:val="none"/>
          <w:u w:val="single"/>
          <w:lang w:val="en-US" w:eastAsia="zh-CN"/>
        </w:rPr>
        <w:t>评分级别</w:t>
      </w:r>
      <w:r>
        <w:rPr>
          <w:rFonts w:hint="eastAsia" w:ascii="仿宋_GB2312" w:hAnsi="仿宋_GB2312" w:eastAsia="仿宋_GB2312" w:cs="仿宋_GB2312"/>
          <w:color w:val="auto"/>
          <w:sz w:val="28"/>
          <w:szCs w:val="28"/>
          <w:highlight w:val="none"/>
          <w:u w:val="none"/>
          <w:lang w:val="en-US" w:eastAsia="zh-CN"/>
        </w:rPr>
        <w:t xml:space="preserve">                                    </w:t>
      </w:r>
      <w:r>
        <w:rPr>
          <w:rFonts w:hint="eastAsia" w:ascii="仿宋_GB2312" w:hAnsi="仿宋_GB2312" w:eastAsia="仿宋_GB2312" w:cs="仿宋_GB2312"/>
          <w:color w:val="auto"/>
          <w:sz w:val="28"/>
          <w:szCs w:val="28"/>
          <w:highlight w:val="none"/>
          <w:u w:val="single"/>
          <w:lang w:val="en-US" w:eastAsia="zh-CN"/>
        </w:rPr>
        <w:t>得分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 xml:space="preserve"> 公司已工商注册登记超过五年                   10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 xml:space="preserve"> 公司已工商注册登记超过两年而少于五年          7</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 xml:space="preserve"> 公司工商注册登记少于两年                      3</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 xml:space="preserve"> </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 xml:space="preserve">保险安排（15分，社保不计算得分）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u w:val="none"/>
          <w:lang w:val="en-US" w:eastAsia="zh-CN"/>
        </w:rPr>
        <w:t xml:space="preserve"> </w:t>
      </w:r>
      <w:r>
        <w:rPr>
          <w:rFonts w:hint="eastAsia" w:ascii="仿宋_GB2312" w:hAnsi="仿宋_GB2312" w:eastAsia="仿宋_GB2312" w:cs="仿宋_GB2312"/>
          <w:color w:val="auto"/>
          <w:sz w:val="28"/>
          <w:szCs w:val="28"/>
          <w:highlight w:val="none"/>
          <w:u w:val="single"/>
          <w:lang w:val="en-US" w:eastAsia="zh-CN"/>
        </w:rPr>
        <w:t>评分级别</w:t>
      </w:r>
      <w:r>
        <w:rPr>
          <w:rFonts w:hint="eastAsia" w:ascii="仿宋_GB2312" w:hAnsi="仿宋_GB2312" w:eastAsia="仿宋_GB2312" w:cs="仿宋_GB2312"/>
          <w:color w:val="auto"/>
          <w:sz w:val="28"/>
          <w:szCs w:val="28"/>
          <w:highlight w:val="none"/>
          <w:u w:val="none"/>
          <w:lang w:val="en-US" w:eastAsia="zh-CN"/>
        </w:rPr>
        <w:t xml:space="preserve">（提供保险单副本）                   </w:t>
      </w:r>
      <w:r>
        <w:rPr>
          <w:rFonts w:hint="eastAsia" w:ascii="仿宋_GB2312" w:hAnsi="仿宋_GB2312" w:eastAsia="仿宋_GB2312" w:cs="仿宋_GB2312"/>
          <w:color w:val="auto"/>
          <w:sz w:val="28"/>
          <w:szCs w:val="28"/>
          <w:highlight w:val="none"/>
          <w:u w:val="single"/>
          <w:lang w:val="en-US" w:eastAsia="zh-CN"/>
        </w:rPr>
        <w:t>得分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 xml:space="preserve"> 服务供方购买了团体意外险或雇主责任险、并为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 xml:space="preserve"> 服务项目购买了第三者责任保险                  15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 xml:space="preserve"> 仅购买了意外险或雇主责任险                    10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 xml:space="preserve"> 服务供方无任何保险安排                         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参考业绩（15分）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 xml:space="preserve">  提供的合同副本应为过往两年内的合同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 xml:space="preserve">    </w:t>
      </w:r>
      <w:r>
        <w:rPr>
          <w:rFonts w:hint="eastAsia" w:ascii="仿宋_GB2312" w:hAnsi="仿宋_GB2312" w:eastAsia="仿宋_GB2312" w:cs="仿宋_GB2312"/>
          <w:color w:val="auto"/>
          <w:sz w:val="28"/>
          <w:szCs w:val="28"/>
          <w:highlight w:val="none"/>
          <w:u w:val="single"/>
          <w:lang w:val="en-US" w:eastAsia="zh-CN"/>
        </w:rPr>
        <w:t>同一年份单一合同总价</w:t>
      </w:r>
      <w:r>
        <w:rPr>
          <w:rFonts w:hint="eastAsia" w:ascii="仿宋_GB2312" w:hAnsi="仿宋_GB2312" w:eastAsia="仿宋_GB2312" w:cs="仿宋_GB2312"/>
          <w:color w:val="auto"/>
          <w:sz w:val="28"/>
          <w:szCs w:val="28"/>
          <w:highlight w:val="none"/>
          <w:u w:val="none"/>
          <w:lang w:val="en-US" w:eastAsia="zh-CN"/>
        </w:rPr>
        <w:t xml:space="preserve">                       </w:t>
      </w:r>
      <w:r>
        <w:rPr>
          <w:rFonts w:hint="eastAsia" w:ascii="仿宋_GB2312" w:hAnsi="仿宋_GB2312" w:eastAsia="仿宋_GB2312" w:cs="仿宋_GB2312"/>
          <w:color w:val="auto"/>
          <w:sz w:val="28"/>
          <w:szCs w:val="28"/>
          <w:highlight w:val="none"/>
          <w:u w:val="single"/>
          <w:lang w:val="en-US" w:eastAsia="zh-CN"/>
        </w:rPr>
        <w:t>得分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 xml:space="preserve"> 两个（含）以上合同均大于或等于90万元          15</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 xml:space="preserve"> 两个（含）以上合同均大于或等于50万元          10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 xml:space="preserve"> 两个（含）以上合同均大于或等于20万元           5</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公司两年内服务的项目情况（15分）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 xml:space="preserve">    </w:t>
      </w:r>
      <w:r>
        <w:rPr>
          <w:rFonts w:hint="eastAsia" w:ascii="仿宋_GB2312" w:hAnsi="仿宋_GB2312" w:eastAsia="仿宋_GB2312" w:cs="仿宋_GB2312"/>
          <w:color w:val="auto"/>
          <w:sz w:val="28"/>
          <w:szCs w:val="28"/>
          <w:highlight w:val="none"/>
          <w:u w:val="single"/>
          <w:lang w:val="en-US" w:eastAsia="zh-CN"/>
        </w:rPr>
        <w:t>项目情况</w:t>
      </w:r>
      <w:r>
        <w:rPr>
          <w:rFonts w:hint="eastAsia" w:ascii="仿宋_GB2312" w:hAnsi="仿宋_GB2312" w:eastAsia="仿宋_GB2312" w:cs="仿宋_GB2312"/>
          <w:color w:val="auto"/>
          <w:sz w:val="28"/>
          <w:szCs w:val="28"/>
          <w:highlight w:val="none"/>
          <w:u w:val="none"/>
          <w:lang w:val="en-US" w:eastAsia="zh-CN"/>
        </w:rPr>
        <w:t xml:space="preserve">（提供合同副本）                    </w:t>
      </w:r>
      <w:r>
        <w:rPr>
          <w:rFonts w:hint="eastAsia" w:ascii="仿宋_GB2312" w:hAnsi="仿宋_GB2312" w:eastAsia="仿宋_GB2312" w:cs="仿宋_GB2312"/>
          <w:color w:val="auto"/>
          <w:sz w:val="28"/>
          <w:szCs w:val="28"/>
          <w:highlight w:val="none"/>
          <w:u w:val="single"/>
          <w:lang w:val="en-US" w:eastAsia="zh-CN"/>
        </w:rPr>
        <w:t>得分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 xml:space="preserve"> 获得省市物业管理示范项目称号的项目              15</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 xml:space="preserve"> 排名全国前20位的地产商开发的项目               10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 xml:space="preserve"> 无上述合同项目                                   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质量管理系统（10分）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u w:val="none"/>
          <w:lang w:val="en-US" w:eastAsia="zh-CN"/>
        </w:rPr>
        <w:t xml:space="preserve">         </w:t>
      </w:r>
      <w:r>
        <w:rPr>
          <w:rFonts w:hint="eastAsia" w:ascii="仿宋_GB2312" w:hAnsi="仿宋_GB2312" w:eastAsia="仿宋_GB2312" w:cs="仿宋_GB2312"/>
          <w:color w:val="auto"/>
          <w:sz w:val="28"/>
          <w:szCs w:val="28"/>
          <w:highlight w:val="none"/>
          <w:u w:val="single"/>
          <w:lang w:val="en-US" w:eastAsia="zh-CN"/>
        </w:rPr>
        <w:t>评分级别</w:t>
      </w:r>
      <w:r>
        <w:rPr>
          <w:rFonts w:hint="eastAsia" w:ascii="仿宋_GB2312" w:hAnsi="仿宋_GB2312" w:eastAsia="仿宋_GB2312" w:cs="仿宋_GB2312"/>
          <w:color w:val="auto"/>
          <w:sz w:val="28"/>
          <w:szCs w:val="28"/>
          <w:highlight w:val="none"/>
          <w:u w:val="none"/>
          <w:lang w:val="en-US" w:eastAsia="zh-CN"/>
        </w:rPr>
        <w:t xml:space="preserve">                                </w:t>
      </w:r>
      <w:r>
        <w:rPr>
          <w:rFonts w:hint="eastAsia" w:ascii="仿宋_GB2312" w:hAnsi="仿宋_GB2312" w:eastAsia="仿宋_GB2312" w:cs="仿宋_GB2312"/>
          <w:color w:val="auto"/>
          <w:sz w:val="28"/>
          <w:szCs w:val="28"/>
          <w:highlight w:val="none"/>
          <w:u w:val="single"/>
          <w:lang w:val="en-US" w:eastAsia="zh-CN"/>
        </w:rPr>
        <w:t>得分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 xml:space="preserve"> 已成功取得国际标准化组织（ISO）证书              10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 xml:space="preserve"> 提供合同证明与ISO认证机构定下认证事宜            7</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 xml:space="preserve"> 服务供方只有计划，但没有合同定下认证事宜          3</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接获政府</w:t>
      </w:r>
      <w:r>
        <w:rPr>
          <w:rFonts w:hint="eastAsia" w:ascii="仿宋_GB2312" w:hAnsi="仿宋_GB2312" w:eastAsia="仿宋_GB2312" w:cs="仿宋_GB2312"/>
          <w:color w:val="auto"/>
          <w:sz w:val="28"/>
          <w:szCs w:val="28"/>
          <w:highlight w:val="none"/>
          <w:lang w:val="en-US" w:eastAsia="zh-CN"/>
        </w:rPr>
        <w:t>部门委托服务项目</w:t>
      </w:r>
      <w:r>
        <w:rPr>
          <w:rFonts w:hint="eastAsia" w:ascii="仿宋_GB2312" w:hAnsi="仿宋_GB2312" w:eastAsia="仿宋_GB2312" w:cs="仿宋_GB2312"/>
          <w:color w:val="auto"/>
          <w:sz w:val="28"/>
          <w:szCs w:val="28"/>
          <w:highlight w:val="none"/>
          <w:u w:val="none"/>
          <w:lang w:val="en-US" w:eastAsia="zh-CN"/>
        </w:rPr>
        <w:t>（10分）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u w:val="none"/>
          <w:lang w:val="en-US" w:eastAsia="zh-CN"/>
        </w:rPr>
        <w:t xml:space="preserve">        </w:t>
      </w:r>
      <w:r>
        <w:rPr>
          <w:rFonts w:hint="eastAsia" w:ascii="仿宋_GB2312" w:hAnsi="仿宋_GB2312" w:eastAsia="仿宋_GB2312" w:cs="仿宋_GB2312"/>
          <w:color w:val="auto"/>
          <w:sz w:val="28"/>
          <w:szCs w:val="28"/>
          <w:highlight w:val="none"/>
          <w:u w:val="single"/>
          <w:lang w:val="en-US" w:eastAsia="zh-CN"/>
        </w:rPr>
        <w:t>评分级别</w:t>
      </w:r>
      <w:r>
        <w:rPr>
          <w:rFonts w:hint="eastAsia" w:ascii="仿宋_GB2312" w:hAnsi="仿宋_GB2312" w:eastAsia="仿宋_GB2312" w:cs="仿宋_GB2312"/>
          <w:color w:val="auto"/>
          <w:sz w:val="28"/>
          <w:szCs w:val="28"/>
          <w:highlight w:val="none"/>
          <w:u w:val="none"/>
          <w:lang w:val="en-US" w:eastAsia="zh-CN"/>
        </w:rPr>
        <w:t xml:space="preserve">  （提供合同副本）               </w:t>
      </w:r>
      <w:r>
        <w:rPr>
          <w:rFonts w:hint="eastAsia" w:ascii="仿宋_GB2312" w:hAnsi="仿宋_GB2312" w:eastAsia="仿宋_GB2312" w:cs="仿宋_GB2312"/>
          <w:color w:val="auto"/>
          <w:sz w:val="28"/>
          <w:szCs w:val="28"/>
          <w:highlight w:val="none"/>
          <w:u w:val="single"/>
          <w:lang w:val="en-US" w:eastAsia="zh-CN"/>
        </w:rPr>
        <w:t>得分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 xml:space="preserve"> 两年内曾为政府部门提供清洁服务                   10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 xml:space="preserve"> 五年内曾为政府部门提供清洁服务                    5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 xml:space="preserve"> 五年内未曾为政府部门提供清洁服务                  0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 xml:space="preserve">       </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为中铁建物业提供日常清洁服务情况（仅限曾与我司合作过的企业评分，25分）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u w:val="none"/>
          <w:lang w:val="en-US" w:eastAsia="zh-CN"/>
        </w:rPr>
        <w:t xml:space="preserve">          </w:t>
      </w:r>
      <w:r>
        <w:rPr>
          <w:rFonts w:hint="eastAsia" w:ascii="仿宋_GB2312" w:hAnsi="仿宋_GB2312" w:eastAsia="仿宋_GB2312" w:cs="仿宋_GB2312"/>
          <w:color w:val="auto"/>
          <w:sz w:val="28"/>
          <w:szCs w:val="28"/>
          <w:highlight w:val="none"/>
          <w:u w:val="single"/>
          <w:lang w:val="en-US" w:eastAsia="zh-CN"/>
        </w:rPr>
        <w:t>评分级别</w:t>
      </w:r>
      <w:r>
        <w:rPr>
          <w:rFonts w:hint="eastAsia" w:ascii="仿宋_GB2312" w:hAnsi="仿宋_GB2312" w:eastAsia="仿宋_GB2312" w:cs="仿宋_GB2312"/>
          <w:color w:val="auto"/>
          <w:sz w:val="28"/>
          <w:szCs w:val="28"/>
          <w:highlight w:val="none"/>
          <w:u w:val="none"/>
          <w:lang w:val="en-US" w:eastAsia="zh-CN"/>
        </w:rPr>
        <w:t xml:space="preserve">                               </w:t>
      </w:r>
      <w:r>
        <w:rPr>
          <w:rFonts w:hint="eastAsia" w:ascii="仿宋_GB2312" w:hAnsi="仿宋_GB2312" w:eastAsia="仿宋_GB2312" w:cs="仿宋_GB2312"/>
          <w:color w:val="auto"/>
          <w:sz w:val="28"/>
          <w:szCs w:val="28"/>
          <w:highlight w:val="none"/>
          <w:u w:val="single"/>
          <w:lang w:val="en-US" w:eastAsia="zh-CN"/>
        </w:rPr>
        <w:t>得分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 xml:space="preserve"> 表现优异，服务期间在集团物业大检查或客户满意度调查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 xml:space="preserve"> 本项目或本专业获得前三名                         25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 xml:space="preserve"> 服务供方合作表现满意                             15</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 xml:space="preserve"> 服务供方表现一般                                  5</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现场管理服务情况（仅限未曾与我司合作过的企业评分，25分）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u w:val="none"/>
          <w:lang w:val="en-US" w:eastAsia="zh-CN"/>
        </w:rPr>
        <w:t xml:space="preserve">  </w:t>
      </w:r>
      <w:r>
        <w:rPr>
          <w:rFonts w:hint="eastAsia" w:ascii="仿宋_GB2312" w:hAnsi="仿宋_GB2312" w:eastAsia="仿宋_GB2312" w:cs="仿宋_GB2312"/>
          <w:color w:val="auto"/>
          <w:sz w:val="28"/>
          <w:szCs w:val="28"/>
          <w:highlight w:val="none"/>
          <w:u w:val="single"/>
          <w:lang w:val="en-US" w:eastAsia="zh-CN"/>
        </w:rPr>
        <w:t>评分级别</w:t>
      </w:r>
      <w:r>
        <w:rPr>
          <w:rFonts w:hint="eastAsia" w:ascii="仿宋_GB2312" w:hAnsi="仿宋_GB2312" w:eastAsia="仿宋_GB2312" w:cs="仿宋_GB2312"/>
          <w:color w:val="auto"/>
          <w:sz w:val="28"/>
          <w:szCs w:val="28"/>
          <w:highlight w:val="none"/>
          <w:u w:val="none"/>
          <w:lang w:val="en-US" w:eastAsia="zh-CN"/>
        </w:rPr>
        <w:t xml:space="preserve">（现场考察清洁效果）                  </w:t>
      </w:r>
      <w:r>
        <w:rPr>
          <w:rFonts w:hint="eastAsia" w:ascii="仿宋_GB2312" w:hAnsi="仿宋_GB2312" w:eastAsia="仿宋_GB2312" w:cs="仿宋_GB2312"/>
          <w:color w:val="auto"/>
          <w:sz w:val="28"/>
          <w:szCs w:val="28"/>
          <w:highlight w:val="none"/>
          <w:u w:val="single"/>
          <w:lang w:val="en-US" w:eastAsia="zh-CN"/>
        </w:rPr>
        <w:t>得分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现场管理优异                                     25</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现场管理良好                                     15</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 xml:space="preserve">现场管理一般                                      5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 xml:space="preserve"> 示例：服务供方甲提交资料显示公司成立六年，未曾与中铁建物业合作过。公司为员工购买了雇主责任险，但没有为服务项目购买公众责任险，服务过程中员工受伤可以获赔，但对甲方和业主造成人身和财产损失保险公司没有赔偿。过往两年在清洁服务方面只有合同额30万元左右的4个小合同，而在服务对象方面，三年内曾接获政府委托1份办公楼清洁服务合同，其余合同项目未获得省优市优，但其中有为恒大地产某售楼处提供清洁服务。服务供方甲还未取得ISO认证，不过有一套较为完整的质量程序，已与某认证公司签订合同。项目副经理和清洁主管曾到服务供方甲，审阅文件原件和参观服务现场，现场管理良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服务供方甲的评分如下：</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u w:val="single"/>
          <w:lang w:val="en-US" w:eastAsia="zh-CN"/>
        </w:rPr>
        <w:t>营业登记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 xml:space="preserve">  分数 =10（工商注册超过5年）</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u w:val="single"/>
          <w:lang w:val="en-US" w:eastAsia="zh-CN"/>
        </w:rPr>
        <w:t>保险</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 xml:space="preserve">  分数 =10（仅有雇主责任险）</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u w:val="single"/>
          <w:lang w:val="en-US" w:eastAsia="zh-CN"/>
        </w:rPr>
        <w:t>参考业绩</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 xml:space="preserve">  分数 =10（清洁服务合同单价低于50万，高于20万）</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u w:val="single"/>
          <w:lang w:val="en-US" w:eastAsia="zh-CN"/>
        </w:rPr>
        <w:t>服务对象情况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 xml:space="preserve"> 分数 =10（知名地产开发商售楼处清洁服务合同）</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u w:val="single"/>
          <w:lang w:val="en-US" w:eastAsia="zh-CN"/>
        </w:rPr>
        <w:t>质量管理系统</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 xml:space="preserve"> 分数 =7（未取得认证，但已签订认证合同）</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u w:val="single"/>
          <w:lang w:val="en-US" w:eastAsia="zh-CN"/>
        </w:rPr>
        <w:t>政府部门委托服务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 xml:space="preserve"> 分数 =5（三年内有政府委托清洁合同）</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u w:val="single"/>
          <w:lang w:val="en-US" w:eastAsia="zh-CN"/>
        </w:rPr>
        <w:t>中铁建物业委托服务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 xml:space="preserve"> 分数 =0（未曾与中铁建物业合作过）</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u w:val="single"/>
          <w:lang w:val="en-US" w:eastAsia="zh-CN"/>
        </w:rPr>
        <w:t>现场管理情况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 xml:space="preserve"> 分数 =15（现场管理良好）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总分数 =10+10+10+10+7+5+0+15=67</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b/>
          <w:bCs/>
          <w:color w:val="auto"/>
          <w:sz w:val="28"/>
          <w:szCs w:val="28"/>
          <w:highlight w:val="none"/>
          <w:u w:val="none"/>
          <w:lang w:val="en-US" w:eastAsia="zh-CN"/>
        </w:rPr>
        <w:t>因总分值超过及格线65分，服务供方甲可推荐为日常清洁服务合格供方。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center"/>
        <w:textAlignment w:val="auto"/>
        <w:outlineLvl w:val="9"/>
        <w:rPr>
          <w:rFonts w:hint="eastAsia" w:ascii="仿宋_GB2312" w:hAnsi="仿宋_GB2312" w:eastAsia="仿宋_GB2312" w:cs="仿宋_GB2312"/>
          <w:b/>
          <w:bCs/>
          <w:color w:val="auto"/>
          <w:sz w:val="28"/>
          <w:szCs w:val="28"/>
          <w:highlight w:val="none"/>
          <w:u w:val="none"/>
          <w:lang w:val="en-US" w:eastAsia="zh-CN"/>
        </w:rPr>
      </w:pPr>
      <w:r>
        <w:rPr>
          <w:rFonts w:hint="eastAsia" w:ascii="仿宋_GB2312" w:hAnsi="仿宋_GB2312" w:eastAsia="仿宋_GB2312" w:cs="仿宋_GB2312"/>
          <w:b/>
          <w:bCs/>
          <w:color w:val="auto"/>
          <w:sz w:val="28"/>
          <w:szCs w:val="28"/>
          <w:highlight w:val="none"/>
          <w:u w:val="none"/>
          <w:lang w:val="en-US" w:eastAsia="zh-CN"/>
        </w:rPr>
        <w:br w:type="page"/>
      </w:r>
      <w:r>
        <w:rPr>
          <w:rFonts w:hint="eastAsia" w:ascii="仿宋_GB2312" w:hAnsi="仿宋_GB2312" w:eastAsia="仿宋_GB2312" w:cs="仿宋_GB2312"/>
          <w:b/>
          <w:bCs/>
          <w:color w:val="auto"/>
          <w:sz w:val="28"/>
          <w:szCs w:val="28"/>
          <w:highlight w:val="none"/>
          <w:u w:val="none"/>
          <w:lang w:val="en-US" w:eastAsia="zh-CN"/>
        </w:rPr>
        <w:t>日常清洁服务合格供方评分表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服务供方名称：</w:t>
      </w:r>
    </w:p>
    <w:tbl>
      <w:tblPr>
        <w:tblStyle w:val="11"/>
        <w:tblW w:w="83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6"/>
        <w:gridCol w:w="4020"/>
        <w:gridCol w:w="1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2686"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1"/>
                <w:szCs w:val="21"/>
                <w:highlight w:val="none"/>
                <w:u w:val="none"/>
                <w:vertAlign w:val="baseline"/>
                <w:lang w:val="en-US" w:eastAsia="zh-CN"/>
              </w:rPr>
            </w:pPr>
            <w:r>
              <w:rPr>
                <w:rFonts w:hint="eastAsia" w:ascii="仿宋_GB2312" w:hAnsi="仿宋_GB2312" w:eastAsia="仿宋_GB2312" w:cs="仿宋_GB2312"/>
                <w:color w:val="auto"/>
                <w:sz w:val="21"/>
                <w:szCs w:val="21"/>
                <w:highlight w:val="none"/>
                <w:u w:val="none"/>
                <w:vertAlign w:val="baseline"/>
                <w:lang w:val="en-US" w:eastAsia="zh-CN"/>
              </w:rPr>
              <w:t>审查要素</w:t>
            </w:r>
          </w:p>
        </w:tc>
        <w:tc>
          <w:tcPr>
            <w:tcW w:w="402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center"/>
              <w:textAlignment w:val="auto"/>
              <w:outlineLvl w:val="9"/>
              <w:rPr>
                <w:rFonts w:hint="eastAsia" w:ascii="仿宋_GB2312" w:hAnsi="仿宋_GB2312" w:eastAsia="仿宋_GB2312" w:cs="仿宋_GB2312"/>
                <w:color w:val="auto"/>
                <w:sz w:val="21"/>
                <w:szCs w:val="21"/>
                <w:highlight w:val="none"/>
                <w:u w:val="none"/>
                <w:vertAlign w:val="baseline"/>
                <w:lang w:val="en-US" w:eastAsia="zh-CN"/>
              </w:rPr>
            </w:pPr>
            <w:r>
              <w:rPr>
                <w:rFonts w:hint="eastAsia" w:ascii="仿宋_GB2312" w:hAnsi="仿宋_GB2312" w:eastAsia="仿宋_GB2312" w:cs="仿宋_GB2312"/>
                <w:color w:val="auto"/>
                <w:sz w:val="21"/>
                <w:szCs w:val="21"/>
                <w:highlight w:val="none"/>
                <w:u w:val="none"/>
                <w:vertAlign w:val="baseline"/>
                <w:lang w:val="en-US" w:eastAsia="zh-CN"/>
              </w:rPr>
              <w:t>附件明细</w:t>
            </w:r>
          </w:p>
        </w:tc>
        <w:tc>
          <w:tcPr>
            <w:tcW w:w="1635"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1"/>
                <w:szCs w:val="21"/>
                <w:highlight w:val="none"/>
                <w:u w:val="none"/>
                <w:vertAlign w:val="baseline"/>
                <w:lang w:val="en-US" w:eastAsia="zh-CN"/>
              </w:rPr>
            </w:pPr>
            <w:r>
              <w:rPr>
                <w:rFonts w:hint="eastAsia" w:ascii="仿宋_GB2312" w:hAnsi="仿宋_GB2312" w:eastAsia="仿宋_GB2312" w:cs="仿宋_GB2312"/>
                <w:color w:val="auto"/>
                <w:sz w:val="21"/>
                <w:szCs w:val="21"/>
                <w:highlight w:val="none"/>
                <w:u w:val="none"/>
                <w:vertAlign w:val="baseline"/>
                <w:lang w:val="en-US" w:eastAsia="zh-CN"/>
              </w:rPr>
              <w:t>要素得分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86"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1"/>
                <w:szCs w:val="21"/>
                <w:highlight w:val="none"/>
                <w:u w:val="none"/>
                <w:vertAlign w:val="baseline"/>
                <w:lang w:val="en-US" w:eastAsia="zh-CN"/>
              </w:rPr>
            </w:pPr>
            <w:r>
              <w:rPr>
                <w:rFonts w:hint="eastAsia" w:ascii="仿宋_GB2312" w:hAnsi="仿宋_GB2312" w:eastAsia="仿宋_GB2312" w:cs="仿宋_GB2312"/>
                <w:color w:val="auto"/>
                <w:sz w:val="21"/>
                <w:szCs w:val="21"/>
                <w:highlight w:val="none"/>
                <w:u w:val="none"/>
                <w:vertAlign w:val="baseline"/>
                <w:lang w:val="en-US" w:eastAsia="zh-CN"/>
              </w:rPr>
              <w:t>1.公司营业登记</w:t>
            </w:r>
          </w:p>
        </w:tc>
        <w:tc>
          <w:tcPr>
            <w:tcW w:w="402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1"/>
                <w:szCs w:val="21"/>
                <w:highlight w:val="none"/>
                <w:u w:val="none"/>
                <w:vertAlign w:val="baseline"/>
                <w:lang w:val="en-US" w:eastAsia="zh-CN"/>
              </w:rPr>
            </w:pPr>
          </w:p>
        </w:tc>
        <w:tc>
          <w:tcPr>
            <w:tcW w:w="1635"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1"/>
                <w:szCs w:val="21"/>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86"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411" w:rightChars="-196"/>
              <w:jc w:val="left"/>
              <w:textAlignment w:val="auto"/>
              <w:outlineLvl w:val="9"/>
              <w:rPr>
                <w:rFonts w:hint="eastAsia" w:ascii="仿宋_GB2312" w:hAnsi="仿宋_GB2312" w:eastAsia="仿宋_GB2312" w:cs="仿宋_GB2312"/>
                <w:color w:val="auto"/>
                <w:sz w:val="21"/>
                <w:szCs w:val="21"/>
                <w:highlight w:val="none"/>
                <w:u w:val="none"/>
                <w:vertAlign w:val="baseline"/>
                <w:lang w:val="en-US" w:eastAsia="zh-CN"/>
              </w:rPr>
            </w:pPr>
            <w:r>
              <w:rPr>
                <w:rFonts w:hint="eastAsia" w:ascii="仿宋_GB2312" w:hAnsi="仿宋_GB2312" w:eastAsia="仿宋_GB2312" w:cs="仿宋_GB2312"/>
                <w:color w:val="auto"/>
                <w:sz w:val="21"/>
                <w:szCs w:val="21"/>
                <w:highlight w:val="none"/>
                <w:u w:val="none"/>
                <w:vertAlign w:val="baseline"/>
                <w:lang w:val="en-US" w:eastAsia="zh-CN"/>
              </w:rPr>
              <w:t>2.保险</w:t>
            </w:r>
          </w:p>
        </w:tc>
        <w:tc>
          <w:tcPr>
            <w:tcW w:w="402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1"/>
                <w:szCs w:val="21"/>
                <w:highlight w:val="none"/>
                <w:u w:val="none"/>
                <w:vertAlign w:val="baseline"/>
                <w:lang w:val="en-US" w:eastAsia="zh-CN"/>
              </w:rPr>
            </w:pPr>
          </w:p>
        </w:tc>
        <w:tc>
          <w:tcPr>
            <w:tcW w:w="1635"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1"/>
                <w:szCs w:val="21"/>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4" w:hRule="atLeast"/>
        </w:trPr>
        <w:tc>
          <w:tcPr>
            <w:tcW w:w="2686"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1"/>
                <w:szCs w:val="21"/>
                <w:highlight w:val="none"/>
                <w:u w:val="none"/>
                <w:vertAlign w:val="baseline"/>
                <w:lang w:val="en-US" w:eastAsia="zh-CN"/>
              </w:rPr>
            </w:pPr>
            <w:r>
              <w:rPr>
                <w:rFonts w:hint="eastAsia" w:ascii="仿宋_GB2312" w:hAnsi="仿宋_GB2312" w:eastAsia="仿宋_GB2312" w:cs="仿宋_GB2312"/>
                <w:color w:val="auto"/>
                <w:sz w:val="21"/>
                <w:szCs w:val="21"/>
                <w:highlight w:val="none"/>
                <w:u w:val="none"/>
                <w:vertAlign w:val="baseline"/>
                <w:lang w:val="en-US" w:eastAsia="zh-CN"/>
              </w:rPr>
              <w:t>3.参考业绩</w:t>
            </w:r>
          </w:p>
        </w:tc>
        <w:tc>
          <w:tcPr>
            <w:tcW w:w="402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1"/>
                <w:szCs w:val="21"/>
                <w:highlight w:val="none"/>
                <w:u w:val="none"/>
                <w:vertAlign w:val="baseline"/>
                <w:lang w:val="en-US" w:eastAsia="zh-CN"/>
              </w:rPr>
            </w:pPr>
          </w:p>
        </w:tc>
        <w:tc>
          <w:tcPr>
            <w:tcW w:w="1635"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1"/>
                <w:szCs w:val="21"/>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86"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1"/>
                <w:szCs w:val="21"/>
                <w:highlight w:val="none"/>
                <w:u w:val="none"/>
                <w:vertAlign w:val="baseline"/>
                <w:lang w:val="en-US" w:eastAsia="zh-CN"/>
              </w:rPr>
            </w:pPr>
            <w:r>
              <w:rPr>
                <w:rFonts w:hint="eastAsia" w:ascii="仿宋_GB2312" w:hAnsi="仿宋_GB2312" w:eastAsia="仿宋_GB2312" w:cs="仿宋_GB2312"/>
                <w:color w:val="auto"/>
                <w:sz w:val="21"/>
                <w:szCs w:val="21"/>
                <w:highlight w:val="none"/>
                <w:u w:val="none"/>
                <w:vertAlign w:val="baseline"/>
                <w:lang w:val="en-US" w:eastAsia="zh-CN"/>
              </w:rPr>
              <w:t>4.两年内服务的项目情况</w:t>
            </w:r>
          </w:p>
        </w:tc>
        <w:tc>
          <w:tcPr>
            <w:tcW w:w="402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1"/>
                <w:szCs w:val="21"/>
                <w:highlight w:val="none"/>
                <w:u w:val="none"/>
                <w:vertAlign w:val="baseline"/>
                <w:lang w:val="en-US" w:eastAsia="zh-CN"/>
              </w:rPr>
            </w:pPr>
          </w:p>
        </w:tc>
        <w:tc>
          <w:tcPr>
            <w:tcW w:w="1635"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1"/>
                <w:szCs w:val="21"/>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86"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1"/>
                <w:szCs w:val="21"/>
                <w:highlight w:val="none"/>
                <w:u w:val="none"/>
                <w:vertAlign w:val="baseline"/>
                <w:lang w:val="en-US" w:eastAsia="zh-CN"/>
              </w:rPr>
            </w:pPr>
            <w:r>
              <w:rPr>
                <w:rFonts w:hint="eastAsia" w:ascii="仿宋_GB2312" w:hAnsi="仿宋_GB2312" w:eastAsia="仿宋_GB2312" w:cs="仿宋_GB2312"/>
                <w:color w:val="auto"/>
                <w:sz w:val="21"/>
                <w:szCs w:val="21"/>
                <w:highlight w:val="none"/>
                <w:u w:val="none"/>
                <w:vertAlign w:val="baseline"/>
                <w:lang w:val="en-US" w:eastAsia="zh-CN"/>
              </w:rPr>
              <w:t>5.质量管理体系</w:t>
            </w:r>
          </w:p>
        </w:tc>
        <w:tc>
          <w:tcPr>
            <w:tcW w:w="402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1"/>
                <w:szCs w:val="21"/>
                <w:highlight w:val="none"/>
                <w:u w:val="none"/>
                <w:vertAlign w:val="baseline"/>
                <w:lang w:val="en-US" w:eastAsia="zh-CN"/>
              </w:rPr>
            </w:pPr>
          </w:p>
        </w:tc>
        <w:tc>
          <w:tcPr>
            <w:tcW w:w="1635"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1"/>
                <w:szCs w:val="21"/>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86"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1"/>
                <w:szCs w:val="21"/>
                <w:highlight w:val="none"/>
                <w:u w:val="none"/>
                <w:vertAlign w:val="baseline"/>
                <w:lang w:val="en-US" w:eastAsia="zh-CN"/>
              </w:rPr>
            </w:pPr>
            <w:r>
              <w:rPr>
                <w:rFonts w:hint="eastAsia" w:ascii="仿宋_GB2312" w:hAnsi="仿宋_GB2312" w:eastAsia="仿宋_GB2312" w:cs="仿宋_GB2312"/>
                <w:color w:val="auto"/>
                <w:sz w:val="21"/>
                <w:szCs w:val="21"/>
                <w:highlight w:val="none"/>
                <w:u w:val="none"/>
                <w:vertAlign w:val="baseline"/>
                <w:lang w:val="en-US" w:eastAsia="zh-CN"/>
              </w:rPr>
              <w:t>6.曾接获政府部门委托清洁服务</w:t>
            </w:r>
          </w:p>
        </w:tc>
        <w:tc>
          <w:tcPr>
            <w:tcW w:w="402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1"/>
                <w:szCs w:val="21"/>
                <w:highlight w:val="none"/>
                <w:u w:val="none"/>
                <w:vertAlign w:val="baseline"/>
                <w:lang w:val="en-US" w:eastAsia="zh-CN"/>
              </w:rPr>
            </w:pPr>
          </w:p>
        </w:tc>
        <w:tc>
          <w:tcPr>
            <w:tcW w:w="1635"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1"/>
                <w:szCs w:val="21"/>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86"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1"/>
                <w:szCs w:val="21"/>
                <w:highlight w:val="none"/>
                <w:u w:val="none"/>
                <w:vertAlign w:val="baseline"/>
                <w:lang w:val="en-US" w:eastAsia="zh-CN"/>
              </w:rPr>
            </w:pPr>
            <w:r>
              <w:rPr>
                <w:rFonts w:hint="eastAsia" w:ascii="仿宋_GB2312" w:hAnsi="仿宋_GB2312" w:eastAsia="仿宋_GB2312" w:cs="仿宋_GB2312"/>
                <w:color w:val="auto"/>
                <w:sz w:val="21"/>
                <w:szCs w:val="21"/>
                <w:highlight w:val="none"/>
                <w:u w:val="none"/>
                <w:vertAlign w:val="baseline"/>
                <w:lang w:val="en-US" w:eastAsia="zh-CN"/>
              </w:rPr>
              <w:t>7.接获中铁建物业委托清洁服务表现</w:t>
            </w:r>
          </w:p>
        </w:tc>
        <w:tc>
          <w:tcPr>
            <w:tcW w:w="402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1"/>
                <w:szCs w:val="21"/>
                <w:highlight w:val="none"/>
                <w:u w:val="none"/>
                <w:vertAlign w:val="baseline"/>
                <w:lang w:val="en-US" w:eastAsia="zh-CN"/>
              </w:rPr>
            </w:pPr>
          </w:p>
        </w:tc>
        <w:tc>
          <w:tcPr>
            <w:tcW w:w="1635"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1"/>
                <w:szCs w:val="21"/>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86"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1"/>
                <w:szCs w:val="21"/>
                <w:highlight w:val="none"/>
                <w:u w:val="none"/>
                <w:vertAlign w:val="baseline"/>
                <w:lang w:val="en-US" w:eastAsia="zh-CN"/>
              </w:rPr>
            </w:pPr>
            <w:r>
              <w:rPr>
                <w:rFonts w:hint="eastAsia" w:ascii="仿宋_GB2312" w:hAnsi="仿宋_GB2312" w:eastAsia="仿宋_GB2312" w:cs="仿宋_GB2312"/>
                <w:color w:val="auto"/>
                <w:sz w:val="21"/>
                <w:szCs w:val="21"/>
                <w:highlight w:val="none"/>
                <w:u w:val="none"/>
                <w:vertAlign w:val="baseline"/>
                <w:lang w:val="en-US" w:eastAsia="zh-CN"/>
              </w:rPr>
              <w:t>8.现场管理情况</w:t>
            </w:r>
          </w:p>
        </w:tc>
        <w:tc>
          <w:tcPr>
            <w:tcW w:w="402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1"/>
                <w:szCs w:val="21"/>
                <w:highlight w:val="none"/>
                <w:u w:val="none"/>
                <w:vertAlign w:val="baseline"/>
                <w:lang w:val="en-US" w:eastAsia="zh-CN"/>
              </w:rPr>
            </w:pPr>
          </w:p>
        </w:tc>
        <w:tc>
          <w:tcPr>
            <w:tcW w:w="1635"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1"/>
                <w:szCs w:val="21"/>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86"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1"/>
                <w:szCs w:val="21"/>
                <w:highlight w:val="none"/>
                <w:u w:val="none"/>
                <w:vertAlign w:val="baseline"/>
                <w:lang w:val="en-US" w:eastAsia="zh-CN"/>
              </w:rPr>
            </w:pPr>
            <w:r>
              <w:rPr>
                <w:rFonts w:hint="eastAsia" w:ascii="仿宋_GB2312" w:hAnsi="仿宋_GB2312" w:eastAsia="仿宋_GB2312" w:cs="仿宋_GB2312"/>
                <w:color w:val="auto"/>
                <w:sz w:val="21"/>
                <w:szCs w:val="21"/>
                <w:highlight w:val="none"/>
                <w:u w:val="none"/>
                <w:vertAlign w:val="baseline"/>
                <w:lang w:val="en-US" w:eastAsia="zh-CN"/>
              </w:rPr>
              <w:t>总得分</w:t>
            </w:r>
          </w:p>
        </w:tc>
        <w:tc>
          <w:tcPr>
            <w:tcW w:w="402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1"/>
                <w:szCs w:val="21"/>
                <w:highlight w:val="none"/>
                <w:u w:val="none"/>
                <w:vertAlign w:val="baseline"/>
                <w:lang w:val="en-US" w:eastAsia="zh-CN"/>
              </w:rPr>
            </w:pPr>
          </w:p>
        </w:tc>
        <w:tc>
          <w:tcPr>
            <w:tcW w:w="1635"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1"/>
                <w:szCs w:val="21"/>
                <w:highlight w:val="none"/>
                <w:u w:val="none"/>
                <w:vertAlign w:val="baseline"/>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良好：80分以上     满意：65-80分     一般：65分以下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审查意见：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u w:val="none"/>
          <w:lang w:val="en-US" w:eastAsia="zh-CN"/>
        </w:rPr>
        <w:t>评分人：</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none"/>
          <w:lang w:val="en-US" w:eastAsia="zh-CN"/>
        </w:rPr>
        <w:t xml:space="preserve"> 职位：</w:t>
      </w:r>
      <w:r>
        <w:rPr>
          <w:rFonts w:hint="eastAsia" w:ascii="仿宋_GB2312" w:hAnsi="仿宋_GB2312" w:eastAsia="仿宋_GB2312" w:cs="仿宋_GB2312"/>
          <w:color w:val="auto"/>
          <w:sz w:val="28"/>
          <w:szCs w:val="28"/>
          <w:highlight w:val="none"/>
          <w:u w:val="single"/>
          <w:lang w:val="en-US" w:eastAsia="zh-CN"/>
        </w:rPr>
        <w:t xml:space="preserve"> 清洁主管/助理 </w:t>
      </w:r>
      <w:r>
        <w:rPr>
          <w:rFonts w:hint="eastAsia" w:ascii="仿宋_GB2312" w:hAnsi="仿宋_GB2312" w:eastAsia="仿宋_GB2312" w:cs="仿宋_GB2312"/>
          <w:color w:val="auto"/>
          <w:sz w:val="28"/>
          <w:szCs w:val="28"/>
          <w:highlight w:val="none"/>
          <w:u w:val="none"/>
          <w:lang w:val="en-US" w:eastAsia="zh-CN"/>
        </w:rPr>
        <w:t xml:space="preserve"> 日期：</w:t>
      </w:r>
      <w:r>
        <w:rPr>
          <w:rFonts w:hint="eastAsia" w:ascii="仿宋_GB2312" w:hAnsi="仿宋_GB2312" w:eastAsia="仿宋_GB2312" w:cs="仿宋_GB2312"/>
          <w:color w:val="auto"/>
          <w:sz w:val="28"/>
          <w:szCs w:val="28"/>
          <w:highlight w:val="none"/>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singl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u w:val="none"/>
          <w:lang w:val="en-US" w:eastAsia="zh-CN"/>
        </w:rPr>
        <w:t>审核人：</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none"/>
          <w:lang w:val="en-US" w:eastAsia="zh-CN"/>
        </w:rPr>
        <w:t xml:space="preserve"> 职位：</w:t>
      </w:r>
      <w:r>
        <w:rPr>
          <w:rFonts w:hint="eastAsia" w:ascii="仿宋_GB2312" w:hAnsi="仿宋_GB2312" w:eastAsia="仿宋_GB2312" w:cs="仿宋_GB2312"/>
          <w:color w:val="auto"/>
          <w:sz w:val="28"/>
          <w:szCs w:val="28"/>
          <w:highlight w:val="none"/>
          <w:u w:val="single"/>
          <w:lang w:val="en-US" w:eastAsia="zh-CN"/>
        </w:rPr>
        <w:t xml:space="preserve"> 项目副经理    </w:t>
      </w:r>
      <w:r>
        <w:rPr>
          <w:rFonts w:hint="eastAsia" w:ascii="仿宋_GB2312" w:hAnsi="仿宋_GB2312" w:eastAsia="仿宋_GB2312" w:cs="仿宋_GB2312"/>
          <w:color w:val="auto"/>
          <w:sz w:val="28"/>
          <w:szCs w:val="28"/>
          <w:highlight w:val="none"/>
          <w:u w:val="none"/>
          <w:lang w:val="en-US" w:eastAsia="zh-CN"/>
        </w:rPr>
        <w:t xml:space="preserve"> 日期：</w:t>
      </w:r>
      <w:r>
        <w:rPr>
          <w:rFonts w:hint="eastAsia" w:ascii="仿宋_GB2312" w:hAnsi="仿宋_GB2312" w:eastAsia="仿宋_GB2312" w:cs="仿宋_GB2312"/>
          <w:color w:val="auto"/>
          <w:sz w:val="28"/>
          <w:szCs w:val="28"/>
          <w:highlight w:val="none"/>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singl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outlineLvl w:val="9"/>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审批人：</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none"/>
          <w:lang w:val="en-US" w:eastAsia="zh-CN"/>
        </w:rPr>
        <w:t xml:space="preserve"> 职位：</w:t>
      </w:r>
      <w:r>
        <w:rPr>
          <w:rFonts w:hint="eastAsia" w:ascii="仿宋_GB2312" w:hAnsi="仿宋_GB2312" w:eastAsia="仿宋_GB2312" w:cs="仿宋_GB2312"/>
          <w:color w:val="auto"/>
          <w:sz w:val="28"/>
          <w:szCs w:val="28"/>
          <w:highlight w:val="none"/>
          <w:u w:val="single"/>
          <w:lang w:val="en-US" w:eastAsia="zh-CN"/>
        </w:rPr>
        <w:t xml:space="preserve"> 单位负责人    </w:t>
      </w:r>
      <w:r>
        <w:rPr>
          <w:rFonts w:hint="eastAsia" w:ascii="仿宋_GB2312" w:hAnsi="仿宋_GB2312" w:eastAsia="仿宋_GB2312" w:cs="仿宋_GB2312"/>
          <w:color w:val="auto"/>
          <w:sz w:val="28"/>
          <w:szCs w:val="28"/>
          <w:highlight w:val="none"/>
          <w:u w:val="none"/>
          <w:lang w:val="en-US" w:eastAsia="zh-CN"/>
        </w:rPr>
        <w:t xml:space="preserve"> 日期：</w:t>
      </w:r>
      <w:r>
        <w:rPr>
          <w:rFonts w:hint="eastAsia" w:ascii="仿宋_GB2312" w:hAnsi="仿宋_GB2312" w:eastAsia="仿宋_GB2312" w:cs="仿宋_GB2312"/>
          <w:color w:val="auto"/>
          <w:sz w:val="28"/>
          <w:szCs w:val="28"/>
          <w:highlight w:val="none"/>
          <w:u w:val="single"/>
          <w:lang w:val="en-US" w:eastAsia="zh-CN"/>
        </w:rPr>
        <w:t xml:space="preserve">                     </w:t>
      </w:r>
    </w:p>
    <w:p>
      <w:pPr>
        <w:rPr>
          <w:rFonts w:hint="eastAsia" w:ascii="仿宋_GB2312" w:hAnsi="仿宋_GB2312" w:eastAsia="仿宋_GB2312" w:cs="仿宋_GB2312"/>
          <w:color w:val="auto"/>
          <w:highlight w:val="none"/>
        </w:rPr>
      </w:pPr>
    </w:p>
    <w:p>
      <w:pPr>
        <w:numPr>
          <w:ilvl w:val="0"/>
          <w:numId w:val="0"/>
        </w:numPr>
        <w:ind w:left="420" w:leftChars="0"/>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outlineLvl w:val="0"/>
        <w:rPr>
          <w:rFonts w:hint="eastAsia" w:ascii="仿宋_GB2312" w:hAnsi="仿宋_GB2312" w:eastAsia="仿宋_GB2312" w:cs="仿宋_GB2312"/>
          <w:b/>
          <w:bCs/>
          <w:color w:val="auto"/>
          <w:sz w:val="36"/>
          <w:szCs w:val="36"/>
          <w:highlight w:val="none"/>
          <w:lang w:val="en-US" w:eastAsia="zh-CN"/>
        </w:rPr>
      </w:pPr>
      <w:bookmarkStart w:id="1" w:name="_Toc1583"/>
      <w:r>
        <w:rPr>
          <w:rFonts w:hint="eastAsia" w:ascii="仿宋_GB2312" w:hAnsi="仿宋_GB2312" w:eastAsia="仿宋_GB2312" w:cs="仿宋_GB2312"/>
          <w:b/>
          <w:bCs/>
          <w:color w:val="auto"/>
          <w:sz w:val="36"/>
          <w:szCs w:val="36"/>
          <w:highlight w:val="none"/>
          <w:lang w:val="en-US" w:eastAsia="zh-CN"/>
        </w:rPr>
        <w:t>第二章 日常保洁服务工作要求细则</w:t>
      </w:r>
      <w:bookmarkEnd w:id="1"/>
    </w:p>
    <w:p>
      <w:pPr>
        <w:spacing w:line="300" w:lineRule="auto"/>
        <w:jc w:val="center"/>
        <w:rPr>
          <w:rFonts w:hint="eastAsia" w:ascii="仿宋_GB2312" w:hAnsi="仿宋_GB2312" w:eastAsia="仿宋_GB2312" w:cs="仿宋_GB2312"/>
          <w:b/>
          <w:color w:val="auto"/>
          <w:szCs w:val="21"/>
          <w:highlight w:val="none"/>
        </w:rPr>
      </w:pPr>
    </w:p>
    <w:tbl>
      <w:tblPr>
        <w:tblStyle w:val="10"/>
        <w:tblW w:w="8804" w:type="dxa"/>
        <w:tblInd w:w="2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
        <w:gridCol w:w="1097"/>
        <w:gridCol w:w="17"/>
        <w:gridCol w:w="14"/>
        <w:gridCol w:w="1256"/>
        <w:gridCol w:w="434"/>
        <w:gridCol w:w="706"/>
        <w:gridCol w:w="1268"/>
        <w:gridCol w:w="1268"/>
        <w:gridCol w:w="969"/>
        <w:gridCol w:w="172"/>
        <w:gridCol w:w="255"/>
        <w:gridCol w:w="42"/>
        <w:gridCol w:w="385"/>
        <w:gridCol w:w="40"/>
        <w:gridCol w:w="387"/>
        <w:gridCol w:w="39"/>
        <w:gridCol w:w="427"/>
        <w:gridCol w:w="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165" w:hRule="atLeast"/>
        </w:trPr>
        <w:tc>
          <w:tcPr>
            <w:tcW w:w="8790" w:type="dxa"/>
            <w:gridSpan w:val="18"/>
            <w:vAlign w:val="top"/>
          </w:tcPr>
          <w:p>
            <w:pPr>
              <w:widowControl/>
              <w:snapToGrid w:val="0"/>
              <w:jc w:val="left"/>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一、公共区域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285" w:hRule="atLeast"/>
        </w:trPr>
        <w:tc>
          <w:tcPr>
            <w:tcW w:w="2398" w:type="dxa"/>
            <w:gridSpan w:val="5"/>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lang w:val="en-US" w:eastAsia="zh-CN"/>
              </w:rPr>
              <w:t>1、</w:t>
            </w:r>
            <w:r>
              <w:rPr>
                <w:rFonts w:hint="eastAsia" w:ascii="仿宋_GB2312" w:hAnsi="仿宋_GB2312" w:eastAsia="仿宋_GB2312" w:cs="仿宋_GB2312"/>
                <w:b/>
                <w:bCs/>
                <w:color w:val="auto"/>
                <w:kern w:val="0"/>
                <w:szCs w:val="21"/>
                <w:highlight w:val="none"/>
              </w:rPr>
              <w:t>大堂、</w:t>
            </w:r>
            <w:r>
              <w:rPr>
                <w:rFonts w:hint="eastAsia" w:ascii="仿宋_GB2312" w:hAnsi="仿宋_GB2312" w:eastAsia="仿宋_GB2312" w:cs="仿宋_GB2312"/>
                <w:b/>
                <w:bCs/>
                <w:color w:val="auto"/>
                <w:kern w:val="0"/>
                <w:szCs w:val="21"/>
                <w:highlight w:val="none"/>
                <w:lang w:eastAsia="zh-CN"/>
              </w:rPr>
              <w:t>样板间等室内</w:t>
            </w:r>
            <w:r>
              <w:rPr>
                <w:rFonts w:hint="eastAsia" w:ascii="仿宋_GB2312" w:hAnsi="仿宋_GB2312" w:eastAsia="仿宋_GB2312" w:cs="仿宋_GB2312"/>
                <w:b/>
                <w:bCs/>
                <w:color w:val="auto"/>
                <w:kern w:val="0"/>
                <w:szCs w:val="21"/>
                <w:highlight w:val="none"/>
              </w:rPr>
              <w:t>区域</w:t>
            </w:r>
          </w:p>
        </w:tc>
        <w:tc>
          <w:tcPr>
            <w:tcW w:w="4645" w:type="dxa"/>
            <w:gridSpan w:val="5"/>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　</w:t>
            </w:r>
          </w:p>
        </w:tc>
        <w:tc>
          <w:tcPr>
            <w:tcW w:w="1747" w:type="dxa"/>
            <w:gridSpan w:val="8"/>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清洁次数（/次）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92" w:hRule="atLeast"/>
        </w:trPr>
        <w:tc>
          <w:tcPr>
            <w:tcW w:w="1128" w:type="dxa"/>
            <w:gridSpan w:val="3"/>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清洁项目</w:t>
            </w:r>
          </w:p>
        </w:tc>
        <w:tc>
          <w:tcPr>
            <w:tcW w:w="1270" w:type="dxa"/>
            <w:gridSpan w:val="2"/>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清洁流程</w:t>
            </w:r>
          </w:p>
        </w:tc>
        <w:tc>
          <w:tcPr>
            <w:tcW w:w="4645" w:type="dxa"/>
            <w:gridSpan w:val="5"/>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清洁</w:t>
            </w:r>
            <w:r>
              <w:rPr>
                <w:rFonts w:hint="eastAsia" w:ascii="仿宋_GB2312" w:hAnsi="仿宋_GB2312" w:eastAsia="仿宋_GB2312" w:cs="仿宋_GB2312"/>
                <w:b/>
                <w:bCs/>
                <w:color w:val="auto"/>
                <w:kern w:val="0"/>
                <w:szCs w:val="21"/>
                <w:highlight w:val="none"/>
                <w:lang w:eastAsia="zh-CN"/>
              </w:rPr>
              <w:t>服务</w:t>
            </w:r>
            <w:r>
              <w:rPr>
                <w:rFonts w:hint="eastAsia" w:ascii="仿宋_GB2312" w:hAnsi="仿宋_GB2312" w:eastAsia="仿宋_GB2312" w:cs="仿宋_GB2312"/>
                <w:b/>
                <w:bCs/>
                <w:color w:val="auto"/>
                <w:kern w:val="0"/>
                <w:szCs w:val="21"/>
                <w:highlight w:val="none"/>
              </w:rPr>
              <w:t>标准</w:t>
            </w:r>
          </w:p>
        </w:tc>
        <w:tc>
          <w:tcPr>
            <w:tcW w:w="427" w:type="dxa"/>
            <w:gridSpan w:val="2"/>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日</w:t>
            </w:r>
          </w:p>
        </w:tc>
        <w:tc>
          <w:tcPr>
            <w:tcW w:w="427" w:type="dxa"/>
            <w:gridSpan w:val="2"/>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周</w:t>
            </w:r>
          </w:p>
        </w:tc>
        <w:tc>
          <w:tcPr>
            <w:tcW w:w="427" w:type="dxa"/>
            <w:gridSpan w:val="2"/>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月</w:t>
            </w:r>
          </w:p>
        </w:tc>
        <w:tc>
          <w:tcPr>
            <w:tcW w:w="466" w:type="dxa"/>
            <w:gridSpan w:val="2"/>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285" w:hRule="atLeast"/>
        </w:trPr>
        <w:tc>
          <w:tcPr>
            <w:tcW w:w="1128"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天花</w:t>
            </w:r>
          </w:p>
        </w:tc>
        <w:tc>
          <w:tcPr>
            <w:tcW w:w="1270"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天花板除尘</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天花板每日除尘，光洁、无污迹</w:t>
            </w: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6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25" w:hRule="atLeast"/>
        </w:trPr>
        <w:tc>
          <w:tcPr>
            <w:tcW w:w="1128"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灯珊</w:t>
            </w:r>
          </w:p>
        </w:tc>
        <w:tc>
          <w:tcPr>
            <w:tcW w:w="1270"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擦拭灯珊</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清擦照明装饰表面，定期清擦灯罩内部，无尘、无污迹</w:t>
            </w: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6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25" w:hRule="atLeast"/>
        </w:trPr>
        <w:tc>
          <w:tcPr>
            <w:tcW w:w="1128"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墙面</w:t>
            </w:r>
          </w:p>
        </w:tc>
        <w:tc>
          <w:tcPr>
            <w:tcW w:w="1270"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墙面保洁</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墙面每日擦拭，用纯白面巾反复擦拭，无尘、无污迹</w:t>
            </w: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6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25" w:hRule="atLeast"/>
        </w:trPr>
        <w:tc>
          <w:tcPr>
            <w:tcW w:w="1128"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门</w:t>
            </w:r>
          </w:p>
        </w:tc>
        <w:tc>
          <w:tcPr>
            <w:tcW w:w="1270"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清洁门板</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利用专业清洁剂反复擦拭门板内外侧，光洁、无污迹</w:t>
            </w: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6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25" w:hRule="atLeast"/>
        </w:trPr>
        <w:tc>
          <w:tcPr>
            <w:tcW w:w="1128"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窗</w:t>
            </w:r>
          </w:p>
        </w:tc>
        <w:tc>
          <w:tcPr>
            <w:tcW w:w="1270"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清擦窗户</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清擦边框，无尘、无污迹；利用专业清洁剂反复擦拭玻璃镜面内外侧，透明无污迹</w:t>
            </w: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6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92" w:hRule="atLeast"/>
        </w:trPr>
        <w:tc>
          <w:tcPr>
            <w:tcW w:w="1128"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标牌标识</w:t>
            </w:r>
          </w:p>
        </w:tc>
        <w:tc>
          <w:tcPr>
            <w:tcW w:w="1270"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标牌养护</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清擦标牌、标识表面，无尘、无污迹，每周采用专用养护清洁剂进行清洁养护，防治养化</w:t>
            </w: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2</w:t>
            </w: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6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883" w:hRule="atLeast"/>
        </w:trPr>
        <w:tc>
          <w:tcPr>
            <w:tcW w:w="1128"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金属</w:t>
            </w:r>
          </w:p>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不锈钢</w:t>
            </w:r>
          </w:p>
        </w:tc>
        <w:tc>
          <w:tcPr>
            <w:tcW w:w="1270"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不锈钢养护</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每日除尘，每周利用专业清洁剂顺金属件条纹擦拭，光机、无污迹，每年用保洁剂保养一次</w:t>
            </w: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2</w:t>
            </w: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6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92" w:hRule="atLeast"/>
        </w:trPr>
        <w:tc>
          <w:tcPr>
            <w:tcW w:w="1128"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消防器材</w:t>
            </w:r>
          </w:p>
        </w:tc>
        <w:tc>
          <w:tcPr>
            <w:tcW w:w="1270"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擦拭</w:t>
            </w:r>
          </w:p>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消防器材</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擦拭，保证无尘、无污迹</w:t>
            </w: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6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285" w:hRule="atLeast"/>
        </w:trPr>
        <w:tc>
          <w:tcPr>
            <w:tcW w:w="1128"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陈设物</w:t>
            </w:r>
          </w:p>
        </w:tc>
        <w:tc>
          <w:tcPr>
            <w:tcW w:w="1270"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擦拭陈设物</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每日清擦陈设物，无尘、无污迹</w:t>
            </w: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6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25" w:hRule="atLeast"/>
        </w:trPr>
        <w:tc>
          <w:tcPr>
            <w:tcW w:w="1128"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垃圾桶</w:t>
            </w:r>
          </w:p>
        </w:tc>
        <w:tc>
          <w:tcPr>
            <w:tcW w:w="1270"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清洁垃圾桶</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随时倾倒，定期清洗，无污迹、无异味；每周利用专用清洁剂擦拭，光洁、无污迹</w:t>
            </w: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2</w:t>
            </w: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6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285" w:hRule="atLeast"/>
        </w:trPr>
        <w:tc>
          <w:tcPr>
            <w:tcW w:w="1128"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绿植</w:t>
            </w:r>
          </w:p>
        </w:tc>
        <w:tc>
          <w:tcPr>
            <w:tcW w:w="1270"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绿植养护</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清擦叶面、花盆，定期浇水、上光，无尘</w:t>
            </w: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2</w:t>
            </w: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6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25" w:hRule="atLeast"/>
        </w:trPr>
        <w:tc>
          <w:tcPr>
            <w:tcW w:w="1128"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石材</w:t>
            </w:r>
          </w:p>
        </w:tc>
        <w:tc>
          <w:tcPr>
            <w:tcW w:w="1270"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石材养护</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随时除尘，每月作晶面养护，打蜡、抛光，光亮、无尘</w:t>
            </w: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6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25" w:hRule="atLeast"/>
        </w:trPr>
        <w:tc>
          <w:tcPr>
            <w:tcW w:w="1128"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地面</w:t>
            </w:r>
          </w:p>
        </w:tc>
        <w:tc>
          <w:tcPr>
            <w:tcW w:w="1270"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lang w:eastAsia="zh-CN"/>
              </w:rPr>
              <w:t>清洁地面</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无污迹、无积水（晶面养护所需物料由乙方提供）</w:t>
            </w: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6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25" w:hRule="atLeast"/>
        </w:trPr>
        <w:tc>
          <w:tcPr>
            <w:tcW w:w="1128"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台阶</w:t>
            </w:r>
          </w:p>
        </w:tc>
        <w:tc>
          <w:tcPr>
            <w:tcW w:w="1270"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清洁台阶</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随时清扫，无尘、无污迹积水；每周用高压水枪冲洗；</w:t>
            </w: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6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25" w:hRule="atLeast"/>
        </w:trPr>
        <w:tc>
          <w:tcPr>
            <w:tcW w:w="1128"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地毯</w:t>
            </w:r>
          </w:p>
        </w:tc>
        <w:tc>
          <w:tcPr>
            <w:tcW w:w="1270"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清洁地毯</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每日吸尘，各入口地毯每日清洗；其他区域每周清洗，无尘、无污迹</w:t>
            </w: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2</w:t>
            </w: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6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1035" w:hRule="atLeast"/>
        </w:trPr>
        <w:tc>
          <w:tcPr>
            <w:tcW w:w="1128"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电梯</w:t>
            </w:r>
          </w:p>
        </w:tc>
        <w:tc>
          <w:tcPr>
            <w:tcW w:w="1270"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擦拭消毒</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每日须用干湿抹布擦拭电梯外门、按钮、轿箱内部不锈钢或镜面，无污迹、手印，并将电梯槽中杂物、灰尘清理干净，每周1次用84消毒液擦拭电梯外门、按钮、轿箱内部</w:t>
            </w: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2</w:t>
            </w: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6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873" w:hRule="atLeast"/>
        </w:trPr>
        <w:tc>
          <w:tcPr>
            <w:tcW w:w="1128"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公共屋面</w:t>
            </w:r>
          </w:p>
        </w:tc>
        <w:tc>
          <w:tcPr>
            <w:tcW w:w="1270"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清洁消毒</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每月对屋面（含所有楼宇屋顶）地面及排沟进行清扫，确保无垃圾、污物；检查排水地漏畅通，及时清理污物及配合处理。</w:t>
            </w: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6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285" w:hRule="atLeast"/>
        </w:trPr>
        <w:tc>
          <w:tcPr>
            <w:tcW w:w="2398" w:type="dxa"/>
            <w:gridSpan w:val="5"/>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lang w:val="en-US" w:eastAsia="zh-CN"/>
              </w:rPr>
              <w:t>2、</w:t>
            </w:r>
            <w:r>
              <w:rPr>
                <w:rFonts w:hint="eastAsia" w:ascii="仿宋_GB2312" w:hAnsi="仿宋_GB2312" w:eastAsia="仿宋_GB2312" w:cs="仿宋_GB2312"/>
                <w:b/>
                <w:bCs/>
                <w:color w:val="auto"/>
                <w:kern w:val="0"/>
                <w:szCs w:val="21"/>
                <w:highlight w:val="none"/>
              </w:rPr>
              <w:t>走廊等公共区域</w:t>
            </w:r>
          </w:p>
        </w:tc>
        <w:tc>
          <w:tcPr>
            <w:tcW w:w="4645" w:type="dxa"/>
            <w:gridSpan w:val="5"/>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　</w:t>
            </w:r>
          </w:p>
        </w:tc>
        <w:tc>
          <w:tcPr>
            <w:tcW w:w="1747" w:type="dxa"/>
            <w:gridSpan w:val="8"/>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清洁次数（/次）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92" w:hRule="atLeast"/>
        </w:trPr>
        <w:tc>
          <w:tcPr>
            <w:tcW w:w="1128" w:type="dxa"/>
            <w:gridSpan w:val="3"/>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清洁项目</w:t>
            </w:r>
          </w:p>
        </w:tc>
        <w:tc>
          <w:tcPr>
            <w:tcW w:w="1270" w:type="dxa"/>
            <w:gridSpan w:val="2"/>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清洁流程</w:t>
            </w:r>
          </w:p>
        </w:tc>
        <w:tc>
          <w:tcPr>
            <w:tcW w:w="4645" w:type="dxa"/>
            <w:gridSpan w:val="5"/>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清洁标准</w:t>
            </w:r>
          </w:p>
        </w:tc>
        <w:tc>
          <w:tcPr>
            <w:tcW w:w="469" w:type="dxa"/>
            <w:gridSpan w:val="3"/>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日</w:t>
            </w:r>
          </w:p>
        </w:tc>
        <w:tc>
          <w:tcPr>
            <w:tcW w:w="425" w:type="dxa"/>
            <w:gridSpan w:val="2"/>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周</w:t>
            </w:r>
          </w:p>
        </w:tc>
        <w:tc>
          <w:tcPr>
            <w:tcW w:w="426" w:type="dxa"/>
            <w:gridSpan w:val="2"/>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月</w:t>
            </w:r>
          </w:p>
        </w:tc>
        <w:tc>
          <w:tcPr>
            <w:tcW w:w="427" w:type="dxa"/>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285" w:hRule="atLeast"/>
        </w:trPr>
        <w:tc>
          <w:tcPr>
            <w:tcW w:w="1128"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天花</w:t>
            </w:r>
          </w:p>
        </w:tc>
        <w:tc>
          <w:tcPr>
            <w:tcW w:w="1270"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天花板除尘</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天花每日除尘，光洁、无污迹</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92" w:hRule="atLeast"/>
        </w:trPr>
        <w:tc>
          <w:tcPr>
            <w:tcW w:w="1128"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灯具灯饰</w:t>
            </w:r>
          </w:p>
        </w:tc>
        <w:tc>
          <w:tcPr>
            <w:tcW w:w="1270"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清洁灯具</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清擦照明装饰表面，定期清擦灯罩内部，无尘、无污迹</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2</w:t>
            </w: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285" w:hRule="atLeast"/>
        </w:trPr>
        <w:tc>
          <w:tcPr>
            <w:tcW w:w="1128"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墙面</w:t>
            </w:r>
          </w:p>
        </w:tc>
        <w:tc>
          <w:tcPr>
            <w:tcW w:w="1270"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墙面保洁</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墙面每日擦拭，用抹布反复擦拭，无尘、无污迹</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92" w:hRule="atLeast"/>
        </w:trPr>
        <w:tc>
          <w:tcPr>
            <w:tcW w:w="1128"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控制面板</w:t>
            </w:r>
          </w:p>
        </w:tc>
        <w:tc>
          <w:tcPr>
            <w:tcW w:w="1270"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擦拭面板</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利用干布擦拭，无尘、无污迹</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2</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25" w:hRule="atLeast"/>
        </w:trPr>
        <w:tc>
          <w:tcPr>
            <w:tcW w:w="1128"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门</w:t>
            </w:r>
          </w:p>
        </w:tc>
        <w:tc>
          <w:tcPr>
            <w:tcW w:w="1270"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清洁门板</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利用专业清洁剂反复擦拭门板内外侧，光洁、无污迹</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2</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285" w:hRule="atLeast"/>
        </w:trPr>
        <w:tc>
          <w:tcPr>
            <w:tcW w:w="1128"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窗</w:t>
            </w:r>
          </w:p>
        </w:tc>
        <w:tc>
          <w:tcPr>
            <w:tcW w:w="1270"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擦拭窗户</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清擦边框，无尘、无污迹</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2</w:t>
            </w: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92" w:hRule="atLeast"/>
        </w:trPr>
        <w:tc>
          <w:tcPr>
            <w:tcW w:w="1128"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烟灰筒</w:t>
            </w:r>
          </w:p>
        </w:tc>
        <w:tc>
          <w:tcPr>
            <w:tcW w:w="1270"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清擦烟灰筒</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每日倾倒，定期上光养护，光洁、无污迹</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2</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780" w:hRule="atLeast"/>
        </w:trPr>
        <w:tc>
          <w:tcPr>
            <w:tcW w:w="1128"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地面</w:t>
            </w:r>
          </w:p>
        </w:tc>
        <w:tc>
          <w:tcPr>
            <w:tcW w:w="1270"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清擦地面</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每日清拖地面，定期清洗，无尘、无污迹、无积水，大理石、花岗岩地面每月做晶面处理，打蜡、抛光</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2</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285" w:hRule="atLeast"/>
        </w:trPr>
        <w:tc>
          <w:tcPr>
            <w:tcW w:w="2398" w:type="dxa"/>
            <w:gridSpan w:val="5"/>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lang w:val="en-US" w:eastAsia="zh-CN"/>
              </w:rPr>
              <w:t>3、</w:t>
            </w:r>
            <w:r>
              <w:rPr>
                <w:rFonts w:hint="eastAsia" w:ascii="仿宋_GB2312" w:hAnsi="仿宋_GB2312" w:eastAsia="仿宋_GB2312" w:cs="仿宋_GB2312"/>
                <w:b/>
                <w:bCs/>
                <w:color w:val="auto"/>
                <w:kern w:val="0"/>
                <w:szCs w:val="21"/>
                <w:highlight w:val="none"/>
              </w:rPr>
              <w:t>消防通道、楼梯</w:t>
            </w:r>
          </w:p>
        </w:tc>
        <w:tc>
          <w:tcPr>
            <w:tcW w:w="4645" w:type="dxa"/>
            <w:gridSpan w:val="5"/>
            <w:vAlign w:val="center"/>
          </w:tcPr>
          <w:p>
            <w:pPr>
              <w:widowControl/>
              <w:snapToGrid w:val="0"/>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　</w:t>
            </w:r>
          </w:p>
        </w:tc>
        <w:tc>
          <w:tcPr>
            <w:tcW w:w="1747" w:type="dxa"/>
            <w:gridSpan w:val="8"/>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清洁次数（/次）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92" w:hRule="atLeast"/>
        </w:trPr>
        <w:tc>
          <w:tcPr>
            <w:tcW w:w="1111" w:type="dxa"/>
            <w:gridSpan w:val="2"/>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清洁项目</w:t>
            </w:r>
          </w:p>
        </w:tc>
        <w:tc>
          <w:tcPr>
            <w:tcW w:w="1287" w:type="dxa"/>
            <w:gridSpan w:val="3"/>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清洁流程</w:t>
            </w:r>
          </w:p>
        </w:tc>
        <w:tc>
          <w:tcPr>
            <w:tcW w:w="4645" w:type="dxa"/>
            <w:gridSpan w:val="5"/>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清洁标准</w:t>
            </w:r>
          </w:p>
        </w:tc>
        <w:tc>
          <w:tcPr>
            <w:tcW w:w="469" w:type="dxa"/>
            <w:gridSpan w:val="3"/>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日</w:t>
            </w:r>
          </w:p>
        </w:tc>
        <w:tc>
          <w:tcPr>
            <w:tcW w:w="425" w:type="dxa"/>
            <w:gridSpan w:val="2"/>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周</w:t>
            </w:r>
          </w:p>
        </w:tc>
        <w:tc>
          <w:tcPr>
            <w:tcW w:w="426" w:type="dxa"/>
            <w:gridSpan w:val="2"/>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月</w:t>
            </w:r>
          </w:p>
        </w:tc>
        <w:tc>
          <w:tcPr>
            <w:tcW w:w="427" w:type="dxa"/>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873"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地面台阶</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清洁消毒</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每日用扫把、簸箕清理灰尘、垃圾，并用拖把墩擦，每周1次用84消毒液墩擦；台阶防滑槽每月用84消毒液刷洗一次</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883"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出口</w:t>
            </w:r>
          </w:p>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指示灯</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清洁指示灯</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使用干布清擦墙面指示灯，无尘、无污迹</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285"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墙面</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墙面保洁</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墙面每日擦拭，用抹布反复擦拭，无尘、无污迹</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25"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门</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清洁门板</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利用专业清洁剂反复擦拭门板内外侧，光洁无污迹</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92"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标牌标识</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标牌养护</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清擦标牌、标识表面，无尘、无污迹</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285"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面板</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擦拭面板</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利用干布擦拭，无尘、无污迹</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92"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扶手铁艺</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清擦扶手</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清擦扶手、铁艺，无尘、无污迹，每周1次用84消毒液擦拭</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285" w:hRule="atLeast"/>
        </w:trPr>
        <w:tc>
          <w:tcPr>
            <w:tcW w:w="2398" w:type="dxa"/>
            <w:gridSpan w:val="5"/>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lang w:val="en-US" w:eastAsia="zh-CN"/>
              </w:rPr>
              <w:t>4、</w:t>
            </w:r>
            <w:r>
              <w:rPr>
                <w:rFonts w:hint="eastAsia" w:ascii="仿宋_GB2312" w:hAnsi="仿宋_GB2312" w:eastAsia="仿宋_GB2312" w:cs="仿宋_GB2312"/>
                <w:b/>
                <w:bCs/>
                <w:color w:val="auto"/>
                <w:kern w:val="0"/>
                <w:szCs w:val="21"/>
                <w:highlight w:val="none"/>
              </w:rPr>
              <w:t>室外公共区域</w:t>
            </w:r>
          </w:p>
        </w:tc>
        <w:tc>
          <w:tcPr>
            <w:tcW w:w="4645" w:type="dxa"/>
            <w:gridSpan w:val="5"/>
            <w:vAlign w:val="center"/>
          </w:tcPr>
          <w:p>
            <w:pPr>
              <w:widowControl/>
              <w:snapToGrid w:val="0"/>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　</w:t>
            </w:r>
          </w:p>
        </w:tc>
        <w:tc>
          <w:tcPr>
            <w:tcW w:w="1747" w:type="dxa"/>
            <w:gridSpan w:val="8"/>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清洁次数（/次）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92" w:hRule="atLeast"/>
        </w:trPr>
        <w:tc>
          <w:tcPr>
            <w:tcW w:w="1111" w:type="dxa"/>
            <w:gridSpan w:val="2"/>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清洁项目</w:t>
            </w:r>
          </w:p>
        </w:tc>
        <w:tc>
          <w:tcPr>
            <w:tcW w:w="1287" w:type="dxa"/>
            <w:gridSpan w:val="3"/>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清洁流程</w:t>
            </w:r>
          </w:p>
        </w:tc>
        <w:tc>
          <w:tcPr>
            <w:tcW w:w="4645" w:type="dxa"/>
            <w:gridSpan w:val="5"/>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清洁标准</w:t>
            </w:r>
          </w:p>
        </w:tc>
        <w:tc>
          <w:tcPr>
            <w:tcW w:w="469" w:type="dxa"/>
            <w:gridSpan w:val="3"/>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日</w:t>
            </w:r>
          </w:p>
        </w:tc>
        <w:tc>
          <w:tcPr>
            <w:tcW w:w="425" w:type="dxa"/>
            <w:gridSpan w:val="2"/>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周</w:t>
            </w:r>
          </w:p>
        </w:tc>
        <w:tc>
          <w:tcPr>
            <w:tcW w:w="426" w:type="dxa"/>
            <w:gridSpan w:val="2"/>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月</w:t>
            </w:r>
          </w:p>
        </w:tc>
        <w:tc>
          <w:tcPr>
            <w:tcW w:w="427" w:type="dxa"/>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25"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门前三包区域</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清扫</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定期清洁地面，无尘、无积水、无污迹。雨雪天气增加清扫频次</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2</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704"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标牌标识</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标牌养护</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清擦标牌、标识表面，无尘、无污迹；每周一次用专业养护剂对金属标牌进行擦拭，养护</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25"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路灯地灯</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清擦路灯</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清擦照明装饰表面，每月两次清擦灯罩内部，无尘、无污迹</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2</w:t>
            </w: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285"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室外家具雕塑</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擦拭</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擦拭表面，随时保持清洗，无尘、无污迹</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285"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假山</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清洗假山</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定期清洗假山，无污迹</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25"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水池喷泉</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清洗水池</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随时清除水池内杂物，定期刷洗水池及池底石子，无杂物污迹</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2</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25"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水池及水井</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消毒及清洗</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定期对水池及水景投放次氯酸钾及硫酸硐。保证水池内无泡沫、无青苔。</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2</w:t>
            </w: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25"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装饰玻璃</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清擦装饰玻璃</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每日清擦，定期清洗，无尘、无污迹</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92"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通风口</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清洁通风口</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定期清擦通风口，无尘、无污迹</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92"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围栏铁艺</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清擦围栏</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定期清擦围栏、铁艺，无污迹</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285"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立柱</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清擦立柱</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定期清擦立柱表面，定期清洗，无污迹</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92"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户外垃圾桶</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清洁倾倒</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垃圾不得超过垃圾桶的2/3，桶身保证干净、无异味</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2</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86"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楼基石子</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清洗</w:t>
            </w:r>
          </w:p>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楼基石子</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定期清洗楼基石子，光洁、美观、无污迹</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2</w:t>
            </w: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285"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台阶</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清洁台阶</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随时清扫，无尘、无污迹、无积水</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2</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285"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地毯</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地毯清洗</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随时除尘，定期清洗地毯，无尘、无污迹</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2</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92"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铁篦子</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清洁铁篦子</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定期清洁铁篦子下方杂物，无杂物、无污迹</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92"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保安岗亭</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清洁岗亭及内置卫生间</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地面墙面擦拭，窗户明亮洁净，家具无尘、无污迹；卫生间清洁要求参见后附卫生间清洁要求</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25"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公共路面车道</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清洁路面</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地面随时清扫，无尘、无污迹、无积水；每月用高压水枪冲洗一次车道及公共路面</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25"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花房</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清洁花房</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地面墙面擦拭，窗户明亮洁净，无尘、无污迹、无积水</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285" w:hRule="atLeast"/>
        </w:trPr>
        <w:tc>
          <w:tcPr>
            <w:tcW w:w="2398" w:type="dxa"/>
            <w:gridSpan w:val="5"/>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二、停车场</w:t>
            </w:r>
          </w:p>
        </w:tc>
        <w:tc>
          <w:tcPr>
            <w:tcW w:w="4645" w:type="dxa"/>
            <w:gridSpan w:val="5"/>
            <w:vAlign w:val="center"/>
          </w:tcPr>
          <w:p>
            <w:pPr>
              <w:widowControl/>
              <w:snapToGrid w:val="0"/>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　</w:t>
            </w:r>
          </w:p>
        </w:tc>
        <w:tc>
          <w:tcPr>
            <w:tcW w:w="1747" w:type="dxa"/>
            <w:gridSpan w:val="8"/>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清洁次数（/次）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92" w:hRule="atLeast"/>
        </w:trPr>
        <w:tc>
          <w:tcPr>
            <w:tcW w:w="1111" w:type="dxa"/>
            <w:gridSpan w:val="2"/>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清洁项目</w:t>
            </w:r>
          </w:p>
        </w:tc>
        <w:tc>
          <w:tcPr>
            <w:tcW w:w="1287" w:type="dxa"/>
            <w:gridSpan w:val="3"/>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清洁流程</w:t>
            </w:r>
          </w:p>
        </w:tc>
        <w:tc>
          <w:tcPr>
            <w:tcW w:w="4645" w:type="dxa"/>
            <w:gridSpan w:val="5"/>
            <w:vAlign w:val="center"/>
          </w:tcPr>
          <w:p>
            <w:pPr>
              <w:widowControl/>
              <w:snapToGrid w:val="0"/>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清洁标准</w:t>
            </w:r>
          </w:p>
        </w:tc>
        <w:tc>
          <w:tcPr>
            <w:tcW w:w="469" w:type="dxa"/>
            <w:gridSpan w:val="3"/>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日</w:t>
            </w:r>
          </w:p>
        </w:tc>
        <w:tc>
          <w:tcPr>
            <w:tcW w:w="425" w:type="dxa"/>
            <w:gridSpan w:val="2"/>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周</w:t>
            </w:r>
          </w:p>
        </w:tc>
        <w:tc>
          <w:tcPr>
            <w:tcW w:w="426" w:type="dxa"/>
            <w:gridSpan w:val="2"/>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月</w:t>
            </w:r>
          </w:p>
        </w:tc>
        <w:tc>
          <w:tcPr>
            <w:tcW w:w="427" w:type="dxa"/>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25"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灯具</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擦拭灯具</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清擦照明装饰表面，定期清擦灯罩内部，无尘、无污迹</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270"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标牌标识</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标牌养护</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清擦标牌、标识表面，无尘、无污迹</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369"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车位档杆</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清擦档杆</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每日清擦车位挡杆，定期清洗，无尘、无污迹</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2</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270"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消防器材</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擦拭消防器材</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每日擦拭，保证无尘、无污迹</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285"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管道</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管道擦尘</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各种管道擦尘，无尘、无污迹</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25"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地面</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地面清洗</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定期清洗地面，无尘、无积水、无污迹；每月用高压水枪冲洗一次</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285" w:hRule="atLeast"/>
        </w:trPr>
        <w:tc>
          <w:tcPr>
            <w:tcW w:w="2398" w:type="dxa"/>
            <w:gridSpan w:val="5"/>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三、物业办公区域</w:t>
            </w:r>
          </w:p>
        </w:tc>
        <w:tc>
          <w:tcPr>
            <w:tcW w:w="4645" w:type="dxa"/>
            <w:gridSpan w:val="5"/>
            <w:vAlign w:val="center"/>
          </w:tcPr>
          <w:p>
            <w:pPr>
              <w:widowControl/>
              <w:snapToGrid w:val="0"/>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　</w:t>
            </w:r>
          </w:p>
        </w:tc>
        <w:tc>
          <w:tcPr>
            <w:tcW w:w="1747" w:type="dxa"/>
            <w:gridSpan w:val="8"/>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清洁次数（/次）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270" w:hRule="atLeast"/>
        </w:trPr>
        <w:tc>
          <w:tcPr>
            <w:tcW w:w="1111" w:type="dxa"/>
            <w:gridSpan w:val="2"/>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清洁项目</w:t>
            </w:r>
          </w:p>
        </w:tc>
        <w:tc>
          <w:tcPr>
            <w:tcW w:w="1287" w:type="dxa"/>
            <w:gridSpan w:val="3"/>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清洁流程</w:t>
            </w:r>
          </w:p>
        </w:tc>
        <w:tc>
          <w:tcPr>
            <w:tcW w:w="4645" w:type="dxa"/>
            <w:gridSpan w:val="5"/>
            <w:vAlign w:val="center"/>
          </w:tcPr>
          <w:p>
            <w:pPr>
              <w:widowControl/>
              <w:snapToGrid w:val="0"/>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清洁标准</w:t>
            </w:r>
          </w:p>
        </w:tc>
        <w:tc>
          <w:tcPr>
            <w:tcW w:w="469" w:type="dxa"/>
            <w:gridSpan w:val="3"/>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日</w:t>
            </w:r>
          </w:p>
        </w:tc>
        <w:tc>
          <w:tcPr>
            <w:tcW w:w="425" w:type="dxa"/>
            <w:gridSpan w:val="2"/>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周</w:t>
            </w:r>
          </w:p>
        </w:tc>
        <w:tc>
          <w:tcPr>
            <w:tcW w:w="426" w:type="dxa"/>
            <w:gridSpan w:val="2"/>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月</w:t>
            </w:r>
          </w:p>
        </w:tc>
        <w:tc>
          <w:tcPr>
            <w:tcW w:w="427" w:type="dxa"/>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10"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电话消毒</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清洁并消毒</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无异味，对人体无害并经相关政府部门批准使用的合格产品; 每月定期消毒</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2</w:t>
            </w: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25"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灯具</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清擦灯具</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清擦照明装饰表面，定期清擦灯罩内部，无尘、无污迹</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285"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面板</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擦拭面板</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利用干布擦拭，无尘、无污迹</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25"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门</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清洁门板</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利用专业清洁剂反复擦拭门板内外侧，光洁、无污迹</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285"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窗</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清擦窗户</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清擦边框，无尘、无污迹</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2</w:t>
            </w: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270"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办公家具</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养护办公家具</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每日清擦办公桌面，每周清擦文件柜，光洁、无污迹</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25"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纸篓</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纸篓倾倒</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每日倾倒纸篓，定期清洗，无尘、无污迹、无异味</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2</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285"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绿植</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擦拭绿植</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无尘、无污迹</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285"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电器</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擦拭</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用绞干、柔软抹布轻擦电脑、复印机等电器表面</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25"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地面</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清擦地面</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每日清拖地面，定期清洗，无尘、无污迹、无积水</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2</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25"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地毯</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清洁地毯</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每日用吸尘器吸尘一次，每2周清洗一次地毯，无污迹</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2</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780"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茶水间</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清洁擦拭</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每日擦拭饮水机机身氺迹；倾倒水槽中积水，并将水槽冲洗干净放回；倾倒水桶中垃圾，并将水桶冲净放回，每日中饭后清理、擦拭桌面</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285" w:hRule="atLeast"/>
        </w:trPr>
        <w:tc>
          <w:tcPr>
            <w:tcW w:w="2398" w:type="dxa"/>
            <w:gridSpan w:val="5"/>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四、卫生间</w:t>
            </w:r>
          </w:p>
        </w:tc>
        <w:tc>
          <w:tcPr>
            <w:tcW w:w="4645" w:type="dxa"/>
            <w:gridSpan w:val="5"/>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　</w:t>
            </w:r>
          </w:p>
        </w:tc>
        <w:tc>
          <w:tcPr>
            <w:tcW w:w="1747" w:type="dxa"/>
            <w:gridSpan w:val="8"/>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清洁次数（/次）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92" w:hRule="atLeast"/>
        </w:trPr>
        <w:tc>
          <w:tcPr>
            <w:tcW w:w="1111" w:type="dxa"/>
            <w:gridSpan w:val="2"/>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清洁项目</w:t>
            </w:r>
          </w:p>
        </w:tc>
        <w:tc>
          <w:tcPr>
            <w:tcW w:w="1287" w:type="dxa"/>
            <w:gridSpan w:val="3"/>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清洁流程</w:t>
            </w:r>
          </w:p>
        </w:tc>
        <w:tc>
          <w:tcPr>
            <w:tcW w:w="4645" w:type="dxa"/>
            <w:gridSpan w:val="5"/>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清洁标准</w:t>
            </w:r>
          </w:p>
        </w:tc>
        <w:tc>
          <w:tcPr>
            <w:tcW w:w="469" w:type="dxa"/>
            <w:gridSpan w:val="3"/>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日</w:t>
            </w:r>
          </w:p>
        </w:tc>
        <w:tc>
          <w:tcPr>
            <w:tcW w:w="425" w:type="dxa"/>
            <w:gridSpan w:val="2"/>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周</w:t>
            </w:r>
          </w:p>
        </w:tc>
        <w:tc>
          <w:tcPr>
            <w:tcW w:w="426" w:type="dxa"/>
            <w:gridSpan w:val="2"/>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月</w:t>
            </w:r>
          </w:p>
        </w:tc>
        <w:tc>
          <w:tcPr>
            <w:tcW w:w="427" w:type="dxa"/>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285"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天花</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天花板除尘</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擦拭天花及送排风口无尘、无污迹</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285"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墙面</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墙面除尘</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利用专用清洁剂反复擦拭墙面，光洁无污迹</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285"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干手器</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清擦干手器</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擦拭烘手器，无水迹、无污迹</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2</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285"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面板</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擦拭面板</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利用干布擦拭，无尘、无污迹</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25"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隔断板</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清洁隔断板</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利用专业清洁剂反复擦拭隔断板内外侧，光洁无污迹</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2</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25"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门</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清洁门板</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利用专业清洁剂反复擦拭门板内外侧，光洁无污迹</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2</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674"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窗、镜</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清擦窗户镜子</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随时清擦边框和表面，保持洁净无尘、无污迹</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285"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台面</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清洁台面</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随时擦拭，保持光亮无污迹</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4</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285"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金属件</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养护金属件</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随时擦拭，无水迹、污迹。利用金属光亮剂养护</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2</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270"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座厕小便池</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清洁消毒</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利用专用清洁剂刷洗内侧，擦拭外侧，光洁、无污迹；每周用专用消毒液清刷一次</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6</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25"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纸篓、垃圾桶</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垃圾倾倒清洁桶身</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垃圾不得超过垃圾桶的1/3，保证桶身干净、无异味</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4</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285"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地面</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地面清洗</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随时清洗地面，保持洁净无尘、无污迹、无积水</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4</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285" w:hRule="atLeast"/>
        </w:trPr>
        <w:tc>
          <w:tcPr>
            <w:tcW w:w="2398" w:type="dxa"/>
            <w:gridSpan w:val="5"/>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五、垃圾处理</w:t>
            </w:r>
          </w:p>
        </w:tc>
        <w:tc>
          <w:tcPr>
            <w:tcW w:w="4645" w:type="dxa"/>
            <w:gridSpan w:val="5"/>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　</w:t>
            </w:r>
          </w:p>
        </w:tc>
        <w:tc>
          <w:tcPr>
            <w:tcW w:w="1747" w:type="dxa"/>
            <w:gridSpan w:val="8"/>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清洁次数（/次）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270" w:hRule="atLeast"/>
        </w:trPr>
        <w:tc>
          <w:tcPr>
            <w:tcW w:w="1111" w:type="dxa"/>
            <w:gridSpan w:val="2"/>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清洁项目</w:t>
            </w:r>
          </w:p>
        </w:tc>
        <w:tc>
          <w:tcPr>
            <w:tcW w:w="1287" w:type="dxa"/>
            <w:gridSpan w:val="3"/>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清洁流程</w:t>
            </w:r>
          </w:p>
        </w:tc>
        <w:tc>
          <w:tcPr>
            <w:tcW w:w="4645" w:type="dxa"/>
            <w:gridSpan w:val="5"/>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清洁标准</w:t>
            </w:r>
          </w:p>
        </w:tc>
        <w:tc>
          <w:tcPr>
            <w:tcW w:w="469" w:type="dxa"/>
            <w:gridSpan w:val="3"/>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日</w:t>
            </w:r>
          </w:p>
        </w:tc>
        <w:tc>
          <w:tcPr>
            <w:tcW w:w="425" w:type="dxa"/>
            <w:gridSpan w:val="2"/>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周</w:t>
            </w:r>
          </w:p>
        </w:tc>
        <w:tc>
          <w:tcPr>
            <w:tcW w:w="426" w:type="dxa"/>
            <w:gridSpan w:val="2"/>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月</w:t>
            </w:r>
          </w:p>
        </w:tc>
        <w:tc>
          <w:tcPr>
            <w:tcW w:w="427" w:type="dxa"/>
            <w:vAlign w:val="center"/>
          </w:tcPr>
          <w:p>
            <w:pPr>
              <w:widowControl/>
              <w:snapToGrid w:val="0"/>
              <w:jc w:val="center"/>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780"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分拣</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垃圾分拣</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可回收、污染物分类：至楼层回收垃圾频次每日不少于2次（除非事前获得甲方许可，不可乘坐电梯进行垃圾清运）</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2</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1035"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清运</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垃圾清运</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生活垃圾要求日产日清，建筑垃圾清运按甲方要求垃圾收集后清运至指定垃圾站，严禁遗洒；垃圾房定期消毒、冲洗及通风，确保清洁</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780" w:hRule="atLeast"/>
        </w:trPr>
        <w:tc>
          <w:tcPr>
            <w:tcW w:w="1111"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消毒</w:t>
            </w:r>
          </w:p>
        </w:tc>
        <w:tc>
          <w:tcPr>
            <w:tcW w:w="1287"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垃圾中转站污水处理房消毒</w:t>
            </w:r>
          </w:p>
        </w:tc>
        <w:tc>
          <w:tcPr>
            <w:tcW w:w="4645" w:type="dxa"/>
            <w:gridSpan w:val="5"/>
            <w:vAlign w:val="center"/>
          </w:tcPr>
          <w:p>
            <w:pPr>
              <w:widowControl/>
              <w:snapToGrid w:val="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5月至9月中旬每周2次，其它时间每周消毒1次，使用对人体无害并经相关政府部门批准使用的合格产品，无异味、无虫害</w:t>
            </w:r>
          </w:p>
        </w:tc>
        <w:tc>
          <w:tcPr>
            <w:tcW w:w="469" w:type="dxa"/>
            <w:gridSpan w:val="3"/>
            <w:vAlign w:val="center"/>
          </w:tcPr>
          <w:p>
            <w:pPr>
              <w:widowControl/>
              <w:snapToGrid w:val="0"/>
              <w:jc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w:t>
            </w:r>
          </w:p>
        </w:tc>
        <w:tc>
          <w:tcPr>
            <w:tcW w:w="425"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6" w:type="dxa"/>
            <w:gridSpan w:val="2"/>
            <w:vAlign w:val="center"/>
          </w:tcPr>
          <w:p>
            <w:pPr>
              <w:widowControl/>
              <w:snapToGrid w:val="0"/>
              <w:jc w:val="center"/>
              <w:rPr>
                <w:rFonts w:hint="eastAsia" w:ascii="仿宋_GB2312" w:hAnsi="仿宋_GB2312" w:eastAsia="仿宋_GB2312" w:cs="仿宋_GB2312"/>
                <w:color w:val="auto"/>
                <w:kern w:val="0"/>
                <w:szCs w:val="21"/>
                <w:highlight w:val="none"/>
              </w:rPr>
            </w:pPr>
          </w:p>
        </w:tc>
        <w:tc>
          <w:tcPr>
            <w:tcW w:w="427" w:type="dxa"/>
            <w:vAlign w:val="center"/>
          </w:tcPr>
          <w:p>
            <w:pPr>
              <w:widowControl/>
              <w:snapToGrid w:val="0"/>
              <w:jc w:val="center"/>
              <w:rPr>
                <w:rFonts w:hint="eastAsia" w:ascii="仿宋_GB2312" w:hAnsi="仿宋_GB2312" w:eastAsia="仿宋_GB2312" w:cs="仿宋_GB2312"/>
                <w:color w:val="auto"/>
                <w:kern w:val="0"/>
                <w:szCs w:val="21"/>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14" w:type="dxa"/>
          <w:wAfter w:w="14" w:type="dxa"/>
          <w:trHeight w:val="285" w:hRule="atLeast"/>
        </w:trPr>
        <w:tc>
          <w:tcPr>
            <w:tcW w:w="8776" w:type="dxa"/>
            <w:gridSpan w:val="17"/>
            <w:tcBorders>
              <w:top w:val="single" w:color="auto" w:sz="4" w:space="0"/>
              <w:left w:val="single" w:color="auto" w:sz="4" w:space="0"/>
              <w:bottom w:val="single" w:color="auto" w:sz="4" w:space="0"/>
              <w:right w:val="single" w:color="auto" w:sz="4" w:space="0"/>
            </w:tcBorders>
            <w:vAlign w:val="center"/>
          </w:tcPr>
          <w:p>
            <w:pPr>
              <w:snapToGrid w:val="0"/>
              <w:spacing w:line="400" w:lineRule="atLeast"/>
              <w:ind w:firstLine="91"/>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备注：</w:t>
            </w:r>
          </w:p>
          <w:p>
            <w:pPr>
              <w:snapToGrid w:val="0"/>
              <w:spacing w:line="400" w:lineRule="atLeas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1、“小心地滑”告示牌应放置在明显位置；</w:t>
            </w:r>
          </w:p>
          <w:p>
            <w:pPr>
              <w:snapToGrid w:val="0"/>
              <w:spacing w:line="400" w:lineRule="atLeas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2、如遇客人经过清洁区域，须暂停、避让并等待客人离开后再行清洁；</w:t>
            </w:r>
          </w:p>
          <w:p>
            <w:pPr>
              <w:snapToGrid w:val="0"/>
              <w:spacing w:line="400" w:lineRule="atLeas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3、爱护电梯内外各种设备设施，监督并阻止任何人员的破坏、捣乱行为以及有损</w:t>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rPr>
              <w:t>项目形象之行为，紧急情况应及时通报；发现故障或感觉电梯运行异常应及时通报；严禁用水直接冲洗电梯任何部位或带水作业；电梯内乘坐客人较多，须注意避让；</w:t>
            </w:r>
          </w:p>
          <w:p>
            <w:pPr>
              <w:snapToGrid w:val="0"/>
              <w:spacing w:line="400" w:lineRule="atLeas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4、捡拾遗失物品须立即上交；</w:t>
            </w:r>
          </w:p>
          <w:p>
            <w:pPr>
              <w:snapToGrid w:val="0"/>
              <w:spacing w:line="400" w:lineRule="atLeas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5、清洁完毕，须将各种清洁工具整理并收至不明显位置；</w:t>
            </w:r>
          </w:p>
          <w:p>
            <w:pPr>
              <w:snapToGrid w:val="0"/>
              <w:spacing w:line="400" w:lineRule="atLeas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6、对烟感、喷淋等消防设施不得随意清洁；</w:t>
            </w:r>
          </w:p>
          <w:p>
            <w:pPr>
              <w:snapToGrid w:val="0"/>
              <w:spacing w:line="400" w:lineRule="atLeas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7、不得随意翻动办公室内所有档、物品，办公用品应轻拿轻放，不得随意丢弃纸张、书本；进入有人办公、会客房间时，应先询问，经允许后再行清洁，且不得借机聆听，清洁完毕应随手将门关上；</w:t>
            </w:r>
          </w:p>
          <w:p>
            <w:pPr>
              <w:snapToGrid w:val="0"/>
              <w:spacing w:line="400" w:lineRule="atLeas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8、装修单元门前区域须加大清洁力度及频率。</w:t>
            </w:r>
          </w:p>
          <w:p>
            <w:pPr>
              <w:autoSpaceDN w:val="0"/>
              <w:jc w:val="left"/>
              <w:textAlignment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color w:val="auto"/>
                <w:szCs w:val="21"/>
                <w:highlight w:val="none"/>
              </w:rPr>
              <w:t>六、商业区域特殊保洁服务要求细则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4" w:type="dxa"/>
          <w:cantSplit/>
          <w:trHeight w:val="264" w:hRule="atLeast"/>
        </w:trPr>
        <w:tc>
          <w:tcPr>
            <w:tcW w:w="1128" w:type="dxa"/>
            <w:gridSpan w:val="3"/>
            <w:vMerge w:val="restart"/>
            <w:vAlign w:val="center"/>
          </w:tcPr>
          <w:p>
            <w:pPr>
              <w:snapToGrid w:val="0"/>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位置</w:t>
            </w:r>
          </w:p>
        </w:tc>
        <w:tc>
          <w:tcPr>
            <w:tcW w:w="1690" w:type="dxa"/>
            <w:gridSpan w:val="2"/>
            <w:vMerge w:val="restart"/>
            <w:vAlign w:val="center"/>
          </w:tcPr>
          <w:p>
            <w:pPr>
              <w:snapToGrid w:val="0"/>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每日作业</w:t>
            </w:r>
          </w:p>
        </w:tc>
        <w:tc>
          <w:tcPr>
            <w:tcW w:w="706" w:type="dxa"/>
            <w:vMerge w:val="restart"/>
            <w:vAlign w:val="center"/>
          </w:tcPr>
          <w:p>
            <w:pPr>
              <w:snapToGrid w:val="0"/>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次数</w:t>
            </w:r>
          </w:p>
        </w:tc>
        <w:tc>
          <w:tcPr>
            <w:tcW w:w="5266" w:type="dxa"/>
            <w:gridSpan w:val="12"/>
            <w:vAlign w:val="center"/>
          </w:tcPr>
          <w:p>
            <w:pPr>
              <w:snapToGrid w:val="0"/>
              <w:jc w:val="center"/>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定期作业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4" w:type="dxa"/>
          <w:cantSplit/>
          <w:trHeight w:val="264" w:hRule="atLeast"/>
        </w:trPr>
        <w:tc>
          <w:tcPr>
            <w:tcW w:w="1128" w:type="dxa"/>
            <w:gridSpan w:val="3"/>
            <w:vMerge w:val="continue"/>
            <w:vAlign w:val="center"/>
          </w:tcPr>
          <w:p>
            <w:pPr>
              <w:snapToGrid w:val="0"/>
              <w:rPr>
                <w:rFonts w:hint="eastAsia" w:ascii="仿宋_GB2312" w:hAnsi="仿宋_GB2312" w:eastAsia="仿宋_GB2312" w:cs="仿宋_GB2312"/>
                <w:b/>
                <w:color w:val="auto"/>
                <w:szCs w:val="21"/>
                <w:highlight w:val="none"/>
              </w:rPr>
            </w:pPr>
          </w:p>
        </w:tc>
        <w:tc>
          <w:tcPr>
            <w:tcW w:w="1690" w:type="dxa"/>
            <w:gridSpan w:val="2"/>
            <w:vMerge w:val="continue"/>
            <w:vAlign w:val="center"/>
          </w:tcPr>
          <w:p>
            <w:pPr>
              <w:snapToGrid w:val="0"/>
              <w:rPr>
                <w:rFonts w:hint="eastAsia" w:ascii="仿宋_GB2312" w:hAnsi="仿宋_GB2312" w:eastAsia="仿宋_GB2312" w:cs="仿宋_GB2312"/>
                <w:b/>
                <w:color w:val="auto"/>
                <w:szCs w:val="21"/>
                <w:highlight w:val="none"/>
              </w:rPr>
            </w:pPr>
          </w:p>
        </w:tc>
        <w:tc>
          <w:tcPr>
            <w:tcW w:w="706" w:type="dxa"/>
            <w:vMerge w:val="continue"/>
            <w:vAlign w:val="center"/>
          </w:tcPr>
          <w:p>
            <w:pPr>
              <w:snapToGrid w:val="0"/>
              <w:rPr>
                <w:rFonts w:hint="eastAsia" w:ascii="仿宋_GB2312" w:hAnsi="仿宋_GB2312" w:eastAsia="仿宋_GB2312" w:cs="仿宋_GB2312"/>
                <w:b/>
                <w:color w:val="auto"/>
                <w:szCs w:val="21"/>
                <w:highlight w:val="none"/>
              </w:rPr>
            </w:pPr>
          </w:p>
        </w:tc>
        <w:tc>
          <w:tcPr>
            <w:tcW w:w="5266" w:type="dxa"/>
            <w:gridSpan w:val="12"/>
            <w:vAlign w:val="center"/>
          </w:tcPr>
          <w:p>
            <w:pPr>
              <w:snapToGrid w:val="0"/>
              <w:jc w:val="center"/>
              <w:rPr>
                <w:rFonts w:hint="eastAsia" w:ascii="仿宋_GB2312" w:hAnsi="仿宋_GB2312" w:eastAsia="仿宋_GB2312" w:cs="仿宋_GB2312"/>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4" w:type="dxa"/>
          <w:cantSplit/>
          <w:trHeight w:val="247" w:hRule="atLeast"/>
        </w:trPr>
        <w:tc>
          <w:tcPr>
            <w:tcW w:w="1128" w:type="dxa"/>
            <w:gridSpan w:val="3"/>
            <w:vMerge w:val="continue"/>
            <w:vAlign w:val="center"/>
          </w:tcPr>
          <w:p>
            <w:pPr>
              <w:snapToGrid w:val="0"/>
              <w:rPr>
                <w:rFonts w:hint="eastAsia" w:ascii="仿宋_GB2312" w:hAnsi="仿宋_GB2312" w:eastAsia="仿宋_GB2312" w:cs="仿宋_GB2312"/>
                <w:b/>
                <w:color w:val="auto"/>
                <w:szCs w:val="21"/>
                <w:highlight w:val="none"/>
              </w:rPr>
            </w:pPr>
          </w:p>
        </w:tc>
        <w:tc>
          <w:tcPr>
            <w:tcW w:w="1690" w:type="dxa"/>
            <w:gridSpan w:val="2"/>
            <w:vMerge w:val="continue"/>
            <w:vAlign w:val="center"/>
          </w:tcPr>
          <w:p>
            <w:pPr>
              <w:snapToGrid w:val="0"/>
              <w:rPr>
                <w:rFonts w:hint="eastAsia" w:ascii="仿宋_GB2312" w:hAnsi="仿宋_GB2312" w:eastAsia="仿宋_GB2312" w:cs="仿宋_GB2312"/>
                <w:b/>
                <w:color w:val="auto"/>
                <w:szCs w:val="21"/>
                <w:highlight w:val="none"/>
              </w:rPr>
            </w:pPr>
          </w:p>
        </w:tc>
        <w:tc>
          <w:tcPr>
            <w:tcW w:w="706" w:type="dxa"/>
            <w:vMerge w:val="continue"/>
            <w:vAlign w:val="center"/>
          </w:tcPr>
          <w:p>
            <w:pPr>
              <w:snapToGrid w:val="0"/>
              <w:rPr>
                <w:rFonts w:hint="eastAsia" w:ascii="仿宋_GB2312" w:hAnsi="仿宋_GB2312" w:eastAsia="仿宋_GB2312" w:cs="仿宋_GB2312"/>
                <w:b/>
                <w:color w:val="auto"/>
                <w:szCs w:val="21"/>
                <w:highlight w:val="none"/>
              </w:rPr>
            </w:pPr>
          </w:p>
        </w:tc>
        <w:tc>
          <w:tcPr>
            <w:tcW w:w="1268" w:type="dxa"/>
            <w:vAlign w:val="center"/>
          </w:tcPr>
          <w:p>
            <w:pPr>
              <w:snapToGrid w:val="0"/>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每周</w:t>
            </w:r>
          </w:p>
        </w:tc>
        <w:tc>
          <w:tcPr>
            <w:tcW w:w="1268" w:type="dxa"/>
            <w:vAlign w:val="center"/>
          </w:tcPr>
          <w:p>
            <w:pPr>
              <w:snapToGrid w:val="0"/>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每月</w:t>
            </w:r>
          </w:p>
        </w:tc>
        <w:tc>
          <w:tcPr>
            <w:tcW w:w="1141" w:type="dxa"/>
            <w:gridSpan w:val="2"/>
            <w:vAlign w:val="center"/>
          </w:tcPr>
          <w:p>
            <w:pPr>
              <w:snapToGrid w:val="0"/>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每季</w:t>
            </w:r>
          </w:p>
        </w:tc>
        <w:tc>
          <w:tcPr>
            <w:tcW w:w="1589" w:type="dxa"/>
            <w:gridSpan w:val="8"/>
            <w:vMerge w:val="restart"/>
            <w:vAlign w:val="center"/>
          </w:tcPr>
          <w:p>
            <w:pPr>
              <w:snapToGrid w:val="0"/>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color w:val="auto"/>
                <w:szCs w:val="21"/>
                <w:highlight w:val="none"/>
              </w:rPr>
              <w:t>镜面处理时需采用专用清洁剂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4" w:type="dxa"/>
          <w:cantSplit/>
          <w:trHeight w:val="652" w:hRule="atLeast"/>
        </w:trPr>
        <w:tc>
          <w:tcPr>
            <w:tcW w:w="1128" w:type="dxa"/>
            <w:gridSpan w:val="3"/>
            <w:vMerge w:val="restart"/>
            <w:vAlign w:val="center"/>
          </w:tcPr>
          <w:p>
            <w:pPr>
              <w:snapToGrid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楼</w:t>
            </w:r>
          </w:p>
          <w:p>
            <w:pPr>
              <w:snapToGrid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内</w:t>
            </w:r>
          </w:p>
          <w:p>
            <w:pPr>
              <w:snapToGrid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公</w:t>
            </w:r>
          </w:p>
          <w:p>
            <w:pPr>
              <w:snapToGrid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区</w:t>
            </w:r>
          </w:p>
        </w:tc>
        <w:tc>
          <w:tcPr>
            <w:tcW w:w="1690" w:type="dxa"/>
            <w:gridSpan w:val="2"/>
            <w:vAlign w:val="center"/>
          </w:tcPr>
          <w:p>
            <w:pPr>
              <w:numPr>
                <w:ilvl w:val="0"/>
                <w:numId w:val="7"/>
              </w:numPr>
              <w:snapToGrid w:val="0"/>
              <w:ind w:left="0" w:firstLine="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清扫大厅、楼梯、走廊及消防通道。</w:t>
            </w:r>
          </w:p>
        </w:tc>
        <w:tc>
          <w:tcPr>
            <w:tcW w:w="706" w:type="dxa"/>
            <w:vAlign w:val="center"/>
          </w:tcPr>
          <w:p>
            <w:pPr>
              <w:snapToGrid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随时</w:t>
            </w:r>
          </w:p>
        </w:tc>
        <w:tc>
          <w:tcPr>
            <w:tcW w:w="1268" w:type="dxa"/>
            <w:vMerge w:val="restart"/>
            <w:vAlign w:val="center"/>
          </w:tcPr>
          <w:p>
            <w:pPr>
              <w:snapToGrid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对楼道窗户玻璃进行1次擦拭</w:t>
            </w:r>
          </w:p>
          <w:p>
            <w:pPr>
              <w:snapToGrid w:val="0"/>
              <w:rPr>
                <w:rFonts w:hint="eastAsia" w:ascii="仿宋_GB2312" w:hAnsi="仿宋_GB2312" w:eastAsia="仿宋_GB2312" w:cs="仿宋_GB2312"/>
                <w:color w:val="auto"/>
                <w:szCs w:val="21"/>
                <w:highlight w:val="none"/>
              </w:rPr>
            </w:pPr>
          </w:p>
          <w:p>
            <w:pPr>
              <w:snapToGrid w:val="0"/>
              <w:rPr>
                <w:rFonts w:hint="eastAsia" w:ascii="仿宋_GB2312" w:hAnsi="仿宋_GB2312" w:eastAsia="仿宋_GB2312" w:cs="仿宋_GB2312"/>
                <w:color w:val="auto"/>
                <w:szCs w:val="21"/>
                <w:highlight w:val="none"/>
              </w:rPr>
            </w:pPr>
          </w:p>
          <w:p>
            <w:pPr>
              <w:snapToGrid w:val="0"/>
              <w:rPr>
                <w:rFonts w:hint="eastAsia" w:ascii="仿宋_GB2312" w:hAnsi="仿宋_GB2312" w:eastAsia="仿宋_GB2312" w:cs="仿宋_GB2312"/>
                <w:color w:val="auto"/>
                <w:szCs w:val="21"/>
                <w:highlight w:val="none"/>
              </w:rPr>
            </w:pPr>
          </w:p>
          <w:p>
            <w:pPr>
              <w:snapToGrid w:val="0"/>
              <w:rPr>
                <w:rFonts w:hint="eastAsia" w:ascii="仿宋_GB2312" w:hAnsi="仿宋_GB2312" w:eastAsia="仿宋_GB2312" w:cs="仿宋_GB2312"/>
                <w:color w:val="auto"/>
                <w:szCs w:val="21"/>
                <w:highlight w:val="none"/>
              </w:rPr>
            </w:pPr>
          </w:p>
          <w:p>
            <w:pPr>
              <w:snapToGrid w:val="0"/>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color w:val="auto"/>
                <w:szCs w:val="21"/>
                <w:highlight w:val="none"/>
              </w:rPr>
              <w:t>每周对侯梯厅墙面及门框进行1次全面清理</w:t>
            </w:r>
          </w:p>
        </w:tc>
        <w:tc>
          <w:tcPr>
            <w:tcW w:w="1268" w:type="dxa"/>
            <w:vMerge w:val="restart"/>
            <w:vAlign w:val="center"/>
          </w:tcPr>
          <w:p>
            <w:pPr>
              <w:snapToGrid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每月对楼内墙面、天花板进行1次除尘</w:t>
            </w:r>
          </w:p>
        </w:tc>
        <w:tc>
          <w:tcPr>
            <w:tcW w:w="1141" w:type="dxa"/>
            <w:gridSpan w:val="2"/>
            <w:vMerge w:val="restart"/>
            <w:vAlign w:val="center"/>
          </w:tcPr>
          <w:p>
            <w:pPr>
              <w:snapToGrid w:val="0"/>
              <w:rPr>
                <w:rFonts w:hint="eastAsia" w:ascii="仿宋_GB2312" w:hAnsi="仿宋_GB2312" w:eastAsia="仿宋_GB2312" w:cs="仿宋_GB2312"/>
                <w:b/>
                <w:color w:val="auto"/>
                <w:szCs w:val="21"/>
                <w:highlight w:val="none"/>
              </w:rPr>
            </w:pPr>
          </w:p>
        </w:tc>
        <w:tc>
          <w:tcPr>
            <w:tcW w:w="1589" w:type="dxa"/>
            <w:gridSpan w:val="8"/>
            <w:vMerge w:val="continue"/>
            <w:vAlign w:val="center"/>
          </w:tcPr>
          <w:p>
            <w:pPr>
              <w:snapToGrid w:val="0"/>
              <w:rPr>
                <w:rFonts w:hint="eastAsia" w:ascii="仿宋_GB2312" w:hAnsi="仿宋_GB2312" w:eastAsia="仿宋_GB2312" w:cs="仿宋_GB2312"/>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4" w:type="dxa"/>
          <w:cantSplit/>
          <w:trHeight w:val="652" w:hRule="atLeast"/>
        </w:trPr>
        <w:tc>
          <w:tcPr>
            <w:tcW w:w="1128" w:type="dxa"/>
            <w:gridSpan w:val="3"/>
            <w:vMerge w:val="continue"/>
            <w:vAlign w:val="center"/>
          </w:tcPr>
          <w:p>
            <w:pPr>
              <w:snapToGrid w:val="0"/>
              <w:rPr>
                <w:rFonts w:hint="eastAsia" w:ascii="仿宋_GB2312" w:hAnsi="仿宋_GB2312" w:eastAsia="仿宋_GB2312" w:cs="仿宋_GB2312"/>
                <w:color w:val="auto"/>
                <w:szCs w:val="21"/>
                <w:highlight w:val="none"/>
              </w:rPr>
            </w:pPr>
          </w:p>
        </w:tc>
        <w:tc>
          <w:tcPr>
            <w:tcW w:w="1690" w:type="dxa"/>
            <w:gridSpan w:val="2"/>
            <w:vAlign w:val="center"/>
          </w:tcPr>
          <w:p>
            <w:pPr>
              <w:numPr>
                <w:ilvl w:val="0"/>
                <w:numId w:val="7"/>
              </w:numPr>
              <w:snapToGrid w:val="0"/>
              <w:ind w:left="0" w:firstLine="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擦拭单元门框、玻璃门禁开关、信报箱。</w:t>
            </w:r>
          </w:p>
        </w:tc>
        <w:tc>
          <w:tcPr>
            <w:tcW w:w="706" w:type="dxa"/>
            <w:vAlign w:val="center"/>
          </w:tcPr>
          <w:p>
            <w:pPr>
              <w:snapToGrid w:val="0"/>
              <w:rPr>
                <w:rFonts w:hint="eastAsia" w:ascii="仿宋_GB2312" w:hAnsi="仿宋_GB2312" w:eastAsia="仿宋_GB2312" w:cs="仿宋_GB2312"/>
                <w:color w:val="auto"/>
                <w:szCs w:val="21"/>
                <w:highlight w:val="none"/>
              </w:rPr>
            </w:pPr>
          </w:p>
        </w:tc>
        <w:tc>
          <w:tcPr>
            <w:tcW w:w="1268" w:type="dxa"/>
            <w:vMerge w:val="continue"/>
            <w:vAlign w:val="center"/>
          </w:tcPr>
          <w:p>
            <w:pPr>
              <w:snapToGrid w:val="0"/>
              <w:rPr>
                <w:rFonts w:hint="eastAsia" w:ascii="仿宋_GB2312" w:hAnsi="仿宋_GB2312" w:eastAsia="仿宋_GB2312" w:cs="仿宋_GB2312"/>
                <w:b/>
                <w:color w:val="auto"/>
                <w:szCs w:val="21"/>
                <w:highlight w:val="none"/>
              </w:rPr>
            </w:pPr>
          </w:p>
        </w:tc>
        <w:tc>
          <w:tcPr>
            <w:tcW w:w="1268" w:type="dxa"/>
            <w:vMerge w:val="continue"/>
            <w:vAlign w:val="center"/>
          </w:tcPr>
          <w:p>
            <w:pPr>
              <w:snapToGrid w:val="0"/>
              <w:rPr>
                <w:rFonts w:hint="eastAsia" w:ascii="仿宋_GB2312" w:hAnsi="仿宋_GB2312" w:eastAsia="仿宋_GB2312" w:cs="仿宋_GB2312"/>
                <w:b/>
                <w:color w:val="auto"/>
                <w:szCs w:val="21"/>
                <w:highlight w:val="none"/>
              </w:rPr>
            </w:pPr>
          </w:p>
        </w:tc>
        <w:tc>
          <w:tcPr>
            <w:tcW w:w="1141" w:type="dxa"/>
            <w:gridSpan w:val="2"/>
            <w:vMerge w:val="continue"/>
            <w:vAlign w:val="center"/>
          </w:tcPr>
          <w:p>
            <w:pPr>
              <w:snapToGrid w:val="0"/>
              <w:rPr>
                <w:rFonts w:hint="eastAsia" w:ascii="仿宋_GB2312" w:hAnsi="仿宋_GB2312" w:eastAsia="仿宋_GB2312" w:cs="仿宋_GB2312"/>
                <w:b/>
                <w:color w:val="auto"/>
                <w:szCs w:val="21"/>
                <w:highlight w:val="none"/>
              </w:rPr>
            </w:pPr>
          </w:p>
        </w:tc>
        <w:tc>
          <w:tcPr>
            <w:tcW w:w="1589" w:type="dxa"/>
            <w:gridSpan w:val="8"/>
            <w:vMerge w:val="continue"/>
            <w:vAlign w:val="center"/>
          </w:tcPr>
          <w:p>
            <w:pPr>
              <w:snapToGrid w:val="0"/>
              <w:rPr>
                <w:rFonts w:hint="eastAsia" w:ascii="仿宋_GB2312" w:hAnsi="仿宋_GB2312" w:eastAsia="仿宋_GB2312" w:cs="仿宋_GB2312"/>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4" w:type="dxa"/>
          <w:cantSplit/>
          <w:trHeight w:val="560" w:hRule="atLeast"/>
        </w:trPr>
        <w:tc>
          <w:tcPr>
            <w:tcW w:w="1128" w:type="dxa"/>
            <w:gridSpan w:val="3"/>
            <w:vMerge w:val="continue"/>
            <w:vAlign w:val="center"/>
          </w:tcPr>
          <w:p>
            <w:pPr>
              <w:snapToGrid w:val="0"/>
              <w:rPr>
                <w:rFonts w:hint="eastAsia" w:ascii="仿宋_GB2312" w:hAnsi="仿宋_GB2312" w:eastAsia="仿宋_GB2312" w:cs="仿宋_GB2312"/>
                <w:color w:val="auto"/>
                <w:szCs w:val="21"/>
                <w:highlight w:val="none"/>
              </w:rPr>
            </w:pPr>
          </w:p>
        </w:tc>
        <w:tc>
          <w:tcPr>
            <w:tcW w:w="1690" w:type="dxa"/>
            <w:gridSpan w:val="2"/>
            <w:vAlign w:val="center"/>
          </w:tcPr>
          <w:p>
            <w:pPr>
              <w:numPr>
                <w:ilvl w:val="0"/>
                <w:numId w:val="7"/>
              </w:numPr>
              <w:snapToGrid w:val="0"/>
              <w:ind w:left="0" w:firstLine="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擦拭楼梯扶手、栏杆、门把手、百叶窗。</w:t>
            </w:r>
          </w:p>
        </w:tc>
        <w:tc>
          <w:tcPr>
            <w:tcW w:w="706" w:type="dxa"/>
            <w:vAlign w:val="center"/>
          </w:tcPr>
          <w:p>
            <w:pPr>
              <w:snapToGrid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每天</w:t>
            </w:r>
          </w:p>
          <w:p>
            <w:pPr>
              <w:snapToGrid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2次</w:t>
            </w:r>
          </w:p>
        </w:tc>
        <w:tc>
          <w:tcPr>
            <w:tcW w:w="1268" w:type="dxa"/>
            <w:vMerge w:val="continue"/>
            <w:vAlign w:val="center"/>
          </w:tcPr>
          <w:p>
            <w:pPr>
              <w:snapToGrid w:val="0"/>
              <w:rPr>
                <w:rFonts w:hint="eastAsia" w:ascii="仿宋_GB2312" w:hAnsi="仿宋_GB2312" w:eastAsia="仿宋_GB2312" w:cs="仿宋_GB2312"/>
                <w:b/>
                <w:color w:val="auto"/>
                <w:szCs w:val="21"/>
                <w:highlight w:val="none"/>
              </w:rPr>
            </w:pPr>
          </w:p>
        </w:tc>
        <w:tc>
          <w:tcPr>
            <w:tcW w:w="1268" w:type="dxa"/>
            <w:vMerge w:val="continue"/>
            <w:vAlign w:val="center"/>
          </w:tcPr>
          <w:p>
            <w:pPr>
              <w:snapToGrid w:val="0"/>
              <w:rPr>
                <w:rFonts w:hint="eastAsia" w:ascii="仿宋_GB2312" w:hAnsi="仿宋_GB2312" w:eastAsia="仿宋_GB2312" w:cs="仿宋_GB2312"/>
                <w:b/>
                <w:color w:val="auto"/>
                <w:szCs w:val="21"/>
                <w:highlight w:val="none"/>
              </w:rPr>
            </w:pPr>
          </w:p>
        </w:tc>
        <w:tc>
          <w:tcPr>
            <w:tcW w:w="1141" w:type="dxa"/>
            <w:gridSpan w:val="2"/>
            <w:vMerge w:val="continue"/>
            <w:vAlign w:val="center"/>
          </w:tcPr>
          <w:p>
            <w:pPr>
              <w:snapToGrid w:val="0"/>
              <w:rPr>
                <w:rFonts w:hint="eastAsia" w:ascii="仿宋_GB2312" w:hAnsi="仿宋_GB2312" w:eastAsia="仿宋_GB2312" w:cs="仿宋_GB2312"/>
                <w:b/>
                <w:color w:val="auto"/>
                <w:szCs w:val="21"/>
                <w:highlight w:val="none"/>
              </w:rPr>
            </w:pPr>
          </w:p>
        </w:tc>
        <w:tc>
          <w:tcPr>
            <w:tcW w:w="1589" w:type="dxa"/>
            <w:gridSpan w:val="8"/>
            <w:vMerge w:val="continue"/>
            <w:vAlign w:val="center"/>
          </w:tcPr>
          <w:p>
            <w:pPr>
              <w:snapToGrid w:val="0"/>
              <w:rPr>
                <w:rFonts w:hint="eastAsia" w:ascii="仿宋_GB2312" w:hAnsi="仿宋_GB2312" w:eastAsia="仿宋_GB2312" w:cs="仿宋_GB2312"/>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4" w:type="dxa"/>
          <w:cantSplit/>
          <w:trHeight w:val="566" w:hRule="atLeast"/>
        </w:trPr>
        <w:tc>
          <w:tcPr>
            <w:tcW w:w="1128" w:type="dxa"/>
            <w:gridSpan w:val="3"/>
            <w:vMerge w:val="continue"/>
            <w:vAlign w:val="center"/>
          </w:tcPr>
          <w:p>
            <w:pPr>
              <w:snapToGrid w:val="0"/>
              <w:rPr>
                <w:rFonts w:hint="eastAsia" w:ascii="仿宋_GB2312" w:hAnsi="仿宋_GB2312" w:eastAsia="仿宋_GB2312" w:cs="仿宋_GB2312"/>
                <w:color w:val="auto"/>
                <w:szCs w:val="21"/>
                <w:highlight w:val="none"/>
              </w:rPr>
            </w:pPr>
          </w:p>
        </w:tc>
        <w:tc>
          <w:tcPr>
            <w:tcW w:w="1690" w:type="dxa"/>
            <w:gridSpan w:val="2"/>
            <w:vAlign w:val="center"/>
          </w:tcPr>
          <w:p>
            <w:pPr>
              <w:numPr>
                <w:ilvl w:val="0"/>
                <w:numId w:val="7"/>
              </w:numPr>
              <w:snapToGrid w:val="0"/>
              <w:ind w:left="0" w:firstLine="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擦拭电梯轿厢门、内壁、镜面，清理滑槽电梯滑槽内杂物。</w:t>
            </w:r>
          </w:p>
        </w:tc>
        <w:tc>
          <w:tcPr>
            <w:tcW w:w="706" w:type="dxa"/>
            <w:vAlign w:val="center"/>
          </w:tcPr>
          <w:p>
            <w:pPr>
              <w:snapToGrid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随时</w:t>
            </w:r>
          </w:p>
        </w:tc>
        <w:tc>
          <w:tcPr>
            <w:tcW w:w="1268" w:type="dxa"/>
            <w:vMerge w:val="continue"/>
            <w:vAlign w:val="center"/>
          </w:tcPr>
          <w:p>
            <w:pPr>
              <w:snapToGrid w:val="0"/>
              <w:rPr>
                <w:rFonts w:hint="eastAsia" w:ascii="仿宋_GB2312" w:hAnsi="仿宋_GB2312" w:eastAsia="仿宋_GB2312" w:cs="仿宋_GB2312"/>
                <w:b/>
                <w:color w:val="auto"/>
                <w:szCs w:val="21"/>
                <w:highlight w:val="none"/>
              </w:rPr>
            </w:pPr>
          </w:p>
        </w:tc>
        <w:tc>
          <w:tcPr>
            <w:tcW w:w="1268" w:type="dxa"/>
            <w:vMerge w:val="continue"/>
            <w:vAlign w:val="center"/>
          </w:tcPr>
          <w:p>
            <w:pPr>
              <w:snapToGrid w:val="0"/>
              <w:rPr>
                <w:rFonts w:hint="eastAsia" w:ascii="仿宋_GB2312" w:hAnsi="仿宋_GB2312" w:eastAsia="仿宋_GB2312" w:cs="仿宋_GB2312"/>
                <w:b/>
                <w:color w:val="auto"/>
                <w:szCs w:val="21"/>
                <w:highlight w:val="none"/>
              </w:rPr>
            </w:pPr>
          </w:p>
        </w:tc>
        <w:tc>
          <w:tcPr>
            <w:tcW w:w="1141" w:type="dxa"/>
            <w:gridSpan w:val="2"/>
            <w:vMerge w:val="continue"/>
            <w:vAlign w:val="center"/>
          </w:tcPr>
          <w:p>
            <w:pPr>
              <w:snapToGrid w:val="0"/>
              <w:rPr>
                <w:rFonts w:hint="eastAsia" w:ascii="仿宋_GB2312" w:hAnsi="仿宋_GB2312" w:eastAsia="仿宋_GB2312" w:cs="仿宋_GB2312"/>
                <w:b/>
                <w:color w:val="auto"/>
                <w:szCs w:val="21"/>
                <w:highlight w:val="none"/>
              </w:rPr>
            </w:pPr>
          </w:p>
        </w:tc>
        <w:tc>
          <w:tcPr>
            <w:tcW w:w="1589" w:type="dxa"/>
            <w:gridSpan w:val="8"/>
            <w:vMerge w:val="continue"/>
            <w:vAlign w:val="center"/>
          </w:tcPr>
          <w:p>
            <w:pPr>
              <w:snapToGrid w:val="0"/>
              <w:rPr>
                <w:rFonts w:hint="eastAsia" w:ascii="仿宋_GB2312" w:hAnsi="仿宋_GB2312" w:eastAsia="仿宋_GB2312" w:cs="仿宋_GB2312"/>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4" w:type="dxa"/>
          <w:cantSplit/>
          <w:trHeight w:val="543" w:hRule="atLeast"/>
        </w:trPr>
        <w:tc>
          <w:tcPr>
            <w:tcW w:w="1128" w:type="dxa"/>
            <w:gridSpan w:val="3"/>
            <w:vMerge w:val="continue"/>
            <w:vAlign w:val="center"/>
          </w:tcPr>
          <w:p>
            <w:pPr>
              <w:snapToGrid w:val="0"/>
              <w:rPr>
                <w:rFonts w:hint="eastAsia" w:ascii="仿宋_GB2312" w:hAnsi="仿宋_GB2312" w:eastAsia="仿宋_GB2312" w:cs="仿宋_GB2312"/>
                <w:color w:val="auto"/>
                <w:szCs w:val="21"/>
                <w:highlight w:val="none"/>
              </w:rPr>
            </w:pPr>
          </w:p>
        </w:tc>
        <w:tc>
          <w:tcPr>
            <w:tcW w:w="1690" w:type="dxa"/>
            <w:gridSpan w:val="2"/>
            <w:vAlign w:val="center"/>
          </w:tcPr>
          <w:p>
            <w:pPr>
              <w:numPr>
                <w:ilvl w:val="0"/>
                <w:numId w:val="7"/>
              </w:numPr>
              <w:snapToGrid w:val="0"/>
              <w:ind w:left="0" w:firstLine="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擦拭楼道窗玻璃。</w:t>
            </w:r>
          </w:p>
        </w:tc>
        <w:tc>
          <w:tcPr>
            <w:tcW w:w="706" w:type="dxa"/>
            <w:vAlign w:val="center"/>
          </w:tcPr>
          <w:p>
            <w:pPr>
              <w:snapToGrid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每周</w:t>
            </w:r>
          </w:p>
          <w:p>
            <w:pPr>
              <w:snapToGrid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1次</w:t>
            </w:r>
          </w:p>
        </w:tc>
        <w:tc>
          <w:tcPr>
            <w:tcW w:w="1268" w:type="dxa"/>
            <w:vMerge w:val="continue"/>
            <w:vAlign w:val="center"/>
          </w:tcPr>
          <w:p>
            <w:pPr>
              <w:snapToGrid w:val="0"/>
              <w:rPr>
                <w:rFonts w:hint="eastAsia" w:ascii="仿宋_GB2312" w:hAnsi="仿宋_GB2312" w:eastAsia="仿宋_GB2312" w:cs="仿宋_GB2312"/>
                <w:color w:val="auto"/>
                <w:szCs w:val="21"/>
                <w:highlight w:val="none"/>
              </w:rPr>
            </w:pPr>
          </w:p>
        </w:tc>
        <w:tc>
          <w:tcPr>
            <w:tcW w:w="1268" w:type="dxa"/>
            <w:vMerge w:val="continue"/>
            <w:vAlign w:val="center"/>
          </w:tcPr>
          <w:p>
            <w:pPr>
              <w:snapToGrid w:val="0"/>
              <w:rPr>
                <w:rFonts w:hint="eastAsia" w:ascii="仿宋_GB2312" w:hAnsi="仿宋_GB2312" w:eastAsia="仿宋_GB2312" w:cs="仿宋_GB2312"/>
                <w:b/>
                <w:color w:val="auto"/>
                <w:szCs w:val="21"/>
                <w:highlight w:val="none"/>
              </w:rPr>
            </w:pPr>
          </w:p>
        </w:tc>
        <w:tc>
          <w:tcPr>
            <w:tcW w:w="1141" w:type="dxa"/>
            <w:gridSpan w:val="2"/>
            <w:vMerge w:val="continue"/>
            <w:vAlign w:val="center"/>
          </w:tcPr>
          <w:p>
            <w:pPr>
              <w:snapToGrid w:val="0"/>
              <w:rPr>
                <w:rFonts w:hint="eastAsia" w:ascii="仿宋_GB2312" w:hAnsi="仿宋_GB2312" w:eastAsia="仿宋_GB2312" w:cs="仿宋_GB2312"/>
                <w:b/>
                <w:color w:val="auto"/>
                <w:szCs w:val="21"/>
                <w:highlight w:val="none"/>
              </w:rPr>
            </w:pPr>
          </w:p>
        </w:tc>
        <w:tc>
          <w:tcPr>
            <w:tcW w:w="1589" w:type="dxa"/>
            <w:gridSpan w:val="8"/>
            <w:vMerge w:val="continue"/>
            <w:vAlign w:val="center"/>
          </w:tcPr>
          <w:p>
            <w:pPr>
              <w:snapToGrid w:val="0"/>
              <w:rPr>
                <w:rFonts w:hint="eastAsia" w:ascii="仿宋_GB2312" w:hAnsi="仿宋_GB2312" w:eastAsia="仿宋_GB2312" w:cs="仿宋_GB2312"/>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4" w:type="dxa"/>
          <w:cantSplit/>
          <w:trHeight w:val="580" w:hRule="atLeast"/>
        </w:trPr>
        <w:tc>
          <w:tcPr>
            <w:tcW w:w="1128" w:type="dxa"/>
            <w:gridSpan w:val="3"/>
            <w:vMerge w:val="continue"/>
            <w:vAlign w:val="center"/>
          </w:tcPr>
          <w:p>
            <w:pPr>
              <w:snapToGrid w:val="0"/>
              <w:rPr>
                <w:rFonts w:hint="eastAsia" w:ascii="仿宋_GB2312" w:hAnsi="仿宋_GB2312" w:eastAsia="仿宋_GB2312" w:cs="仿宋_GB2312"/>
                <w:color w:val="auto"/>
                <w:szCs w:val="21"/>
                <w:highlight w:val="none"/>
              </w:rPr>
            </w:pPr>
          </w:p>
        </w:tc>
        <w:tc>
          <w:tcPr>
            <w:tcW w:w="1690" w:type="dxa"/>
            <w:gridSpan w:val="2"/>
            <w:vAlign w:val="center"/>
          </w:tcPr>
          <w:p>
            <w:pPr>
              <w:numPr>
                <w:ilvl w:val="0"/>
                <w:numId w:val="7"/>
              </w:numPr>
              <w:snapToGrid w:val="0"/>
              <w:ind w:left="0" w:firstLine="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电梯墙面、电梯门框、户门框。</w:t>
            </w:r>
          </w:p>
        </w:tc>
        <w:tc>
          <w:tcPr>
            <w:tcW w:w="706" w:type="dxa"/>
            <w:vAlign w:val="center"/>
          </w:tcPr>
          <w:p>
            <w:pPr>
              <w:snapToGrid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每周</w:t>
            </w:r>
          </w:p>
          <w:p>
            <w:pPr>
              <w:snapToGrid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1次</w:t>
            </w:r>
          </w:p>
        </w:tc>
        <w:tc>
          <w:tcPr>
            <w:tcW w:w="1268" w:type="dxa"/>
            <w:vMerge w:val="continue"/>
            <w:vAlign w:val="center"/>
          </w:tcPr>
          <w:p>
            <w:pPr>
              <w:snapToGrid w:val="0"/>
              <w:rPr>
                <w:rFonts w:hint="eastAsia" w:ascii="仿宋_GB2312" w:hAnsi="仿宋_GB2312" w:eastAsia="仿宋_GB2312" w:cs="仿宋_GB2312"/>
                <w:color w:val="auto"/>
                <w:szCs w:val="21"/>
                <w:highlight w:val="none"/>
              </w:rPr>
            </w:pPr>
          </w:p>
        </w:tc>
        <w:tc>
          <w:tcPr>
            <w:tcW w:w="1268" w:type="dxa"/>
            <w:vMerge w:val="continue"/>
            <w:vAlign w:val="center"/>
          </w:tcPr>
          <w:p>
            <w:pPr>
              <w:snapToGrid w:val="0"/>
              <w:rPr>
                <w:rFonts w:hint="eastAsia" w:ascii="仿宋_GB2312" w:hAnsi="仿宋_GB2312" w:eastAsia="仿宋_GB2312" w:cs="仿宋_GB2312"/>
                <w:b/>
                <w:color w:val="auto"/>
                <w:szCs w:val="21"/>
                <w:highlight w:val="none"/>
              </w:rPr>
            </w:pPr>
          </w:p>
        </w:tc>
        <w:tc>
          <w:tcPr>
            <w:tcW w:w="1141" w:type="dxa"/>
            <w:gridSpan w:val="2"/>
            <w:vMerge w:val="continue"/>
            <w:vAlign w:val="center"/>
          </w:tcPr>
          <w:p>
            <w:pPr>
              <w:snapToGrid w:val="0"/>
              <w:rPr>
                <w:rFonts w:hint="eastAsia" w:ascii="仿宋_GB2312" w:hAnsi="仿宋_GB2312" w:eastAsia="仿宋_GB2312" w:cs="仿宋_GB2312"/>
                <w:b/>
                <w:color w:val="auto"/>
                <w:szCs w:val="21"/>
                <w:highlight w:val="none"/>
              </w:rPr>
            </w:pPr>
          </w:p>
        </w:tc>
        <w:tc>
          <w:tcPr>
            <w:tcW w:w="1589" w:type="dxa"/>
            <w:gridSpan w:val="8"/>
            <w:vMerge w:val="continue"/>
            <w:vAlign w:val="center"/>
          </w:tcPr>
          <w:p>
            <w:pPr>
              <w:snapToGrid w:val="0"/>
              <w:rPr>
                <w:rFonts w:hint="eastAsia" w:ascii="仿宋_GB2312" w:hAnsi="仿宋_GB2312" w:eastAsia="仿宋_GB2312" w:cs="仿宋_GB2312"/>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4" w:type="dxa"/>
          <w:cantSplit/>
          <w:trHeight w:val="580" w:hRule="atLeast"/>
        </w:trPr>
        <w:tc>
          <w:tcPr>
            <w:tcW w:w="1128" w:type="dxa"/>
            <w:gridSpan w:val="3"/>
            <w:vAlign w:val="center"/>
          </w:tcPr>
          <w:p>
            <w:pPr>
              <w:snapToGrid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外墙玻璃百叶窗</w:t>
            </w:r>
          </w:p>
        </w:tc>
        <w:tc>
          <w:tcPr>
            <w:tcW w:w="1690" w:type="dxa"/>
            <w:gridSpan w:val="2"/>
            <w:vAlign w:val="center"/>
          </w:tcPr>
          <w:p>
            <w:pPr>
              <w:snapToGrid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发现有脏污处，及时进行清洁</w:t>
            </w:r>
          </w:p>
        </w:tc>
        <w:tc>
          <w:tcPr>
            <w:tcW w:w="706" w:type="dxa"/>
            <w:vAlign w:val="center"/>
          </w:tcPr>
          <w:p>
            <w:pPr>
              <w:snapToGrid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随时</w:t>
            </w:r>
          </w:p>
        </w:tc>
        <w:tc>
          <w:tcPr>
            <w:tcW w:w="1268" w:type="dxa"/>
            <w:vAlign w:val="center"/>
          </w:tcPr>
          <w:p>
            <w:pPr>
              <w:snapToGrid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百叶门、窗、风口清洁</w:t>
            </w:r>
          </w:p>
        </w:tc>
        <w:tc>
          <w:tcPr>
            <w:tcW w:w="1268" w:type="dxa"/>
            <w:vAlign w:val="center"/>
          </w:tcPr>
          <w:p>
            <w:pPr>
              <w:snapToGrid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对大门石材进行保养</w:t>
            </w:r>
          </w:p>
        </w:tc>
        <w:tc>
          <w:tcPr>
            <w:tcW w:w="1141" w:type="dxa"/>
            <w:gridSpan w:val="2"/>
            <w:vAlign w:val="center"/>
          </w:tcPr>
          <w:p>
            <w:pPr>
              <w:snapToGrid w:val="0"/>
              <w:rPr>
                <w:rFonts w:hint="eastAsia" w:ascii="仿宋_GB2312" w:hAnsi="仿宋_GB2312" w:eastAsia="仿宋_GB2312" w:cs="仿宋_GB2312"/>
                <w:color w:val="auto"/>
                <w:szCs w:val="21"/>
                <w:highlight w:val="none"/>
              </w:rPr>
            </w:pPr>
          </w:p>
        </w:tc>
        <w:tc>
          <w:tcPr>
            <w:tcW w:w="1589" w:type="dxa"/>
            <w:gridSpan w:val="8"/>
            <w:vMerge w:val="restart"/>
            <w:vAlign w:val="center"/>
          </w:tcPr>
          <w:p>
            <w:pPr>
              <w:snapToGrid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投放鼠药处需设置警示标牌</w:t>
            </w:r>
          </w:p>
          <w:p>
            <w:pPr>
              <w:snapToGrid w:val="0"/>
              <w:rPr>
                <w:rFonts w:hint="eastAsia" w:ascii="仿宋_GB2312" w:hAnsi="仿宋_GB2312" w:eastAsia="仿宋_GB2312" w:cs="仿宋_GB2312"/>
                <w:color w:val="auto"/>
                <w:szCs w:val="21"/>
                <w:highlight w:val="none"/>
              </w:rPr>
            </w:pPr>
          </w:p>
          <w:p>
            <w:pPr>
              <w:snapToGrid w:val="0"/>
              <w:rPr>
                <w:rFonts w:hint="eastAsia" w:ascii="仿宋_GB2312" w:hAnsi="仿宋_GB2312" w:eastAsia="仿宋_GB2312" w:cs="仿宋_GB2312"/>
                <w:color w:val="auto"/>
                <w:szCs w:val="21"/>
                <w:highlight w:val="none"/>
              </w:rPr>
            </w:pPr>
          </w:p>
          <w:p>
            <w:pPr>
              <w:snapToGrid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保证雨季楼顶雨水管口、路面下水道畅通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4" w:type="dxa"/>
          <w:cantSplit/>
          <w:trHeight w:val="580" w:hRule="atLeast"/>
        </w:trPr>
        <w:tc>
          <w:tcPr>
            <w:tcW w:w="1128" w:type="dxa"/>
            <w:gridSpan w:val="3"/>
            <w:vAlign w:val="center"/>
          </w:tcPr>
          <w:p>
            <w:pPr>
              <w:snapToGrid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外围楼顶天台</w:t>
            </w:r>
          </w:p>
        </w:tc>
        <w:tc>
          <w:tcPr>
            <w:tcW w:w="1690" w:type="dxa"/>
            <w:gridSpan w:val="2"/>
            <w:vAlign w:val="center"/>
          </w:tcPr>
          <w:p>
            <w:pPr>
              <w:snapToGrid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及时清理路面积水、积雪、垃圾等，保洁随时巡回。</w:t>
            </w:r>
          </w:p>
        </w:tc>
        <w:tc>
          <w:tcPr>
            <w:tcW w:w="706" w:type="dxa"/>
            <w:vAlign w:val="center"/>
          </w:tcPr>
          <w:p>
            <w:pPr>
              <w:snapToGrid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随时</w:t>
            </w:r>
          </w:p>
        </w:tc>
        <w:tc>
          <w:tcPr>
            <w:tcW w:w="1268" w:type="dxa"/>
            <w:vAlign w:val="center"/>
          </w:tcPr>
          <w:p>
            <w:pPr>
              <w:snapToGrid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每周对蚊蝇消杀消毒</w:t>
            </w:r>
          </w:p>
        </w:tc>
        <w:tc>
          <w:tcPr>
            <w:tcW w:w="1268" w:type="dxa"/>
            <w:vAlign w:val="center"/>
          </w:tcPr>
          <w:p>
            <w:pPr>
              <w:snapToGrid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雨季每月对下水道进行1次全面清理</w:t>
            </w:r>
          </w:p>
        </w:tc>
        <w:tc>
          <w:tcPr>
            <w:tcW w:w="1141" w:type="dxa"/>
            <w:gridSpan w:val="2"/>
            <w:vAlign w:val="center"/>
          </w:tcPr>
          <w:p>
            <w:pPr>
              <w:snapToGrid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投放鼠药</w:t>
            </w:r>
          </w:p>
        </w:tc>
        <w:tc>
          <w:tcPr>
            <w:tcW w:w="1589" w:type="dxa"/>
            <w:gridSpan w:val="8"/>
            <w:vMerge w:val="continue"/>
            <w:vAlign w:val="center"/>
          </w:tcPr>
          <w:p>
            <w:pPr>
              <w:snapToGrid w:val="0"/>
              <w:rPr>
                <w:rFonts w:hint="eastAsia" w:ascii="仿宋_GB2312" w:hAnsi="仿宋_GB2312" w:eastAsia="仿宋_GB2312" w:cs="仿宋_GB2312"/>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4" w:type="dxa"/>
          <w:cantSplit/>
          <w:trHeight w:val="580" w:hRule="atLeast"/>
        </w:trPr>
        <w:tc>
          <w:tcPr>
            <w:tcW w:w="1128" w:type="dxa"/>
            <w:gridSpan w:val="3"/>
            <w:vMerge w:val="restart"/>
            <w:vAlign w:val="center"/>
          </w:tcPr>
          <w:p>
            <w:pPr>
              <w:snapToGrid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物业办公区</w:t>
            </w:r>
          </w:p>
        </w:tc>
        <w:tc>
          <w:tcPr>
            <w:tcW w:w="1690" w:type="dxa"/>
            <w:gridSpan w:val="2"/>
            <w:vAlign w:val="center"/>
          </w:tcPr>
          <w:p>
            <w:pPr>
              <w:snapToGrid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每天清扫办公区、清倒垃圾</w:t>
            </w:r>
          </w:p>
        </w:tc>
        <w:tc>
          <w:tcPr>
            <w:tcW w:w="706" w:type="dxa"/>
            <w:vAlign w:val="center"/>
          </w:tcPr>
          <w:p>
            <w:pPr>
              <w:snapToGrid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2次</w:t>
            </w:r>
          </w:p>
        </w:tc>
        <w:tc>
          <w:tcPr>
            <w:tcW w:w="1268" w:type="dxa"/>
            <w:vAlign w:val="center"/>
          </w:tcPr>
          <w:p>
            <w:pPr>
              <w:snapToGrid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天花板、灯具、管线除尘</w:t>
            </w:r>
          </w:p>
        </w:tc>
        <w:tc>
          <w:tcPr>
            <w:tcW w:w="1268" w:type="dxa"/>
            <w:vMerge w:val="restart"/>
            <w:vAlign w:val="center"/>
          </w:tcPr>
          <w:p>
            <w:pPr>
              <w:snapToGrid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天花板除尘机清洁灯具、管线监控设备清理</w:t>
            </w:r>
          </w:p>
        </w:tc>
        <w:tc>
          <w:tcPr>
            <w:tcW w:w="1141" w:type="dxa"/>
            <w:gridSpan w:val="2"/>
            <w:vMerge w:val="restart"/>
            <w:vAlign w:val="center"/>
          </w:tcPr>
          <w:p>
            <w:pPr>
              <w:snapToGrid w:val="0"/>
              <w:rPr>
                <w:rFonts w:hint="eastAsia" w:ascii="仿宋_GB2312" w:hAnsi="仿宋_GB2312" w:eastAsia="仿宋_GB2312" w:cs="仿宋_GB2312"/>
                <w:color w:val="auto"/>
                <w:szCs w:val="21"/>
                <w:highlight w:val="none"/>
              </w:rPr>
            </w:pPr>
          </w:p>
        </w:tc>
        <w:tc>
          <w:tcPr>
            <w:tcW w:w="1589" w:type="dxa"/>
            <w:gridSpan w:val="8"/>
            <w:vMerge w:val="restart"/>
            <w:vAlign w:val="center"/>
          </w:tcPr>
          <w:p>
            <w:pPr>
              <w:snapToGrid w:val="0"/>
              <w:rPr>
                <w:rFonts w:hint="eastAsia" w:ascii="仿宋_GB2312" w:hAnsi="仿宋_GB2312" w:eastAsia="仿宋_GB2312" w:cs="仿宋_GB2312"/>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4" w:type="dxa"/>
          <w:cantSplit/>
          <w:trHeight w:val="580" w:hRule="atLeast"/>
        </w:trPr>
        <w:tc>
          <w:tcPr>
            <w:tcW w:w="1128" w:type="dxa"/>
            <w:gridSpan w:val="3"/>
            <w:vMerge w:val="continue"/>
            <w:vAlign w:val="center"/>
          </w:tcPr>
          <w:p>
            <w:pPr>
              <w:snapToGrid w:val="0"/>
              <w:rPr>
                <w:rFonts w:hint="eastAsia" w:ascii="仿宋_GB2312" w:hAnsi="仿宋_GB2312" w:eastAsia="仿宋_GB2312" w:cs="仿宋_GB2312"/>
                <w:color w:val="auto"/>
                <w:szCs w:val="21"/>
                <w:highlight w:val="none"/>
              </w:rPr>
            </w:pPr>
          </w:p>
        </w:tc>
        <w:tc>
          <w:tcPr>
            <w:tcW w:w="1690" w:type="dxa"/>
            <w:gridSpan w:val="2"/>
            <w:vAlign w:val="center"/>
          </w:tcPr>
          <w:p>
            <w:pPr>
              <w:snapToGrid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擦拭办公桌椅</w:t>
            </w:r>
          </w:p>
        </w:tc>
        <w:tc>
          <w:tcPr>
            <w:tcW w:w="706" w:type="dxa"/>
            <w:vAlign w:val="center"/>
          </w:tcPr>
          <w:p>
            <w:pPr>
              <w:snapToGrid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2次</w:t>
            </w:r>
          </w:p>
        </w:tc>
        <w:tc>
          <w:tcPr>
            <w:tcW w:w="1268" w:type="dxa"/>
            <w:vAlign w:val="center"/>
          </w:tcPr>
          <w:p>
            <w:pPr>
              <w:snapToGrid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地毯吸尘</w:t>
            </w:r>
          </w:p>
        </w:tc>
        <w:tc>
          <w:tcPr>
            <w:tcW w:w="1268" w:type="dxa"/>
            <w:vMerge w:val="continue"/>
            <w:vAlign w:val="center"/>
          </w:tcPr>
          <w:p>
            <w:pPr>
              <w:snapToGrid w:val="0"/>
              <w:rPr>
                <w:rFonts w:hint="eastAsia" w:ascii="仿宋_GB2312" w:hAnsi="仿宋_GB2312" w:eastAsia="仿宋_GB2312" w:cs="仿宋_GB2312"/>
                <w:color w:val="auto"/>
                <w:szCs w:val="21"/>
                <w:highlight w:val="none"/>
              </w:rPr>
            </w:pPr>
          </w:p>
        </w:tc>
        <w:tc>
          <w:tcPr>
            <w:tcW w:w="1141" w:type="dxa"/>
            <w:gridSpan w:val="2"/>
            <w:vMerge w:val="continue"/>
            <w:vAlign w:val="center"/>
          </w:tcPr>
          <w:p>
            <w:pPr>
              <w:snapToGrid w:val="0"/>
              <w:rPr>
                <w:rFonts w:hint="eastAsia" w:ascii="仿宋_GB2312" w:hAnsi="仿宋_GB2312" w:eastAsia="仿宋_GB2312" w:cs="仿宋_GB2312"/>
                <w:color w:val="auto"/>
                <w:szCs w:val="21"/>
                <w:highlight w:val="none"/>
              </w:rPr>
            </w:pPr>
          </w:p>
        </w:tc>
        <w:tc>
          <w:tcPr>
            <w:tcW w:w="1589" w:type="dxa"/>
            <w:gridSpan w:val="8"/>
            <w:vMerge w:val="continue"/>
            <w:vAlign w:val="center"/>
          </w:tcPr>
          <w:p>
            <w:pPr>
              <w:snapToGrid w:val="0"/>
              <w:rPr>
                <w:rFonts w:hint="eastAsia" w:ascii="仿宋_GB2312" w:hAnsi="仿宋_GB2312" w:eastAsia="仿宋_GB2312" w:cs="仿宋_GB2312"/>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4" w:type="dxa"/>
          <w:cantSplit/>
          <w:trHeight w:val="580" w:hRule="atLeast"/>
        </w:trPr>
        <w:tc>
          <w:tcPr>
            <w:tcW w:w="1128" w:type="dxa"/>
            <w:gridSpan w:val="3"/>
            <w:vMerge w:val="continue"/>
            <w:vAlign w:val="center"/>
          </w:tcPr>
          <w:p>
            <w:pPr>
              <w:snapToGrid w:val="0"/>
              <w:rPr>
                <w:rFonts w:hint="eastAsia" w:ascii="仿宋_GB2312" w:hAnsi="仿宋_GB2312" w:eastAsia="仿宋_GB2312" w:cs="仿宋_GB2312"/>
                <w:color w:val="auto"/>
                <w:szCs w:val="21"/>
                <w:highlight w:val="none"/>
              </w:rPr>
            </w:pPr>
          </w:p>
        </w:tc>
        <w:tc>
          <w:tcPr>
            <w:tcW w:w="1690" w:type="dxa"/>
            <w:gridSpan w:val="2"/>
            <w:vAlign w:val="center"/>
          </w:tcPr>
          <w:p>
            <w:pPr>
              <w:snapToGrid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巡回保洁</w:t>
            </w:r>
          </w:p>
        </w:tc>
        <w:tc>
          <w:tcPr>
            <w:tcW w:w="706" w:type="dxa"/>
            <w:vAlign w:val="center"/>
          </w:tcPr>
          <w:p>
            <w:pPr>
              <w:snapToGrid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随时</w:t>
            </w:r>
          </w:p>
        </w:tc>
        <w:tc>
          <w:tcPr>
            <w:tcW w:w="1268" w:type="dxa"/>
            <w:vAlign w:val="center"/>
          </w:tcPr>
          <w:p>
            <w:pPr>
              <w:snapToGrid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家具全面保养</w:t>
            </w:r>
          </w:p>
        </w:tc>
        <w:tc>
          <w:tcPr>
            <w:tcW w:w="1268" w:type="dxa"/>
            <w:vMerge w:val="continue"/>
            <w:vAlign w:val="center"/>
          </w:tcPr>
          <w:p>
            <w:pPr>
              <w:snapToGrid w:val="0"/>
              <w:rPr>
                <w:rFonts w:hint="eastAsia" w:ascii="仿宋_GB2312" w:hAnsi="仿宋_GB2312" w:eastAsia="仿宋_GB2312" w:cs="仿宋_GB2312"/>
                <w:color w:val="auto"/>
                <w:szCs w:val="21"/>
                <w:highlight w:val="none"/>
              </w:rPr>
            </w:pPr>
          </w:p>
        </w:tc>
        <w:tc>
          <w:tcPr>
            <w:tcW w:w="1141" w:type="dxa"/>
            <w:gridSpan w:val="2"/>
            <w:vMerge w:val="continue"/>
            <w:vAlign w:val="center"/>
          </w:tcPr>
          <w:p>
            <w:pPr>
              <w:snapToGrid w:val="0"/>
              <w:rPr>
                <w:rFonts w:hint="eastAsia" w:ascii="仿宋_GB2312" w:hAnsi="仿宋_GB2312" w:eastAsia="仿宋_GB2312" w:cs="仿宋_GB2312"/>
                <w:color w:val="auto"/>
                <w:szCs w:val="21"/>
                <w:highlight w:val="none"/>
              </w:rPr>
            </w:pPr>
          </w:p>
        </w:tc>
        <w:tc>
          <w:tcPr>
            <w:tcW w:w="1589" w:type="dxa"/>
            <w:gridSpan w:val="8"/>
            <w:vMerge w:val="continue"/>
            <w:vAlign w:val="center"/>
          </w:tcPr>
          <w:p>
            <w:pPr>
              <w:snapToGrid w:val="0"/>
              <w:rPr>
                <w:rFonts w:hint="eastAsia" w:ascii="仿宋_GB2312" w:hAnsi="仿宋_GB2312" w:eastAsia="仿宋_GB2312" w:cs="仿宋_GB2312"/>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4" w:type="dxa"/>
          <w:trHeight w:val="580" w:hRule="atLeast"/>
        </w:trPr>
        <w:tc>
          <w:tcPr>
            <w:tcW w:w="1128" w:type="dxa"/>
            <w:gridSpan w:val="3"/>
            <w:vAlign w:val="center"/>
          </w:tcPr>
          <w:p>
            <w:pPr>
              <w:snapToGrid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消毒</w:t>
            </w:r>
          </w:p>
        </w:tc>
        <w:tc>
          <w:tcPr>
            <w:tcW w:w="1690" w:type="dxa"/>
            <w:gridSpan w:val="2"/>
            <w:vAlign w:val="center"/>
          </w:tcPr>
          <w:p>
            <w:pPr>
              <w:snapToGrid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用消毒水擦拭门锁、扶手、电梯按钮等</w:t>
            </w:r>
          </w:p>
        </w:tc>
        <w:tc>
          <w:tcPr>
            <w:tcW w:w="706" w:type="dxa"/>
            <w:vAlign w:val="center"/>
          </w:tcPr>
          <w:p>
            <w:pPr>
              <w:snapToGrid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w:t>
            </w:r>
          </w:p>
        </w:tc>
        <w:tc>
          <w:tcPr>
            <w:tcW w:w="1268" w:type="dxa"/>
            <w:vAlign w:val="center"/>
          </w:tcPr>
          <w:p>
            <w:pPr>
              <w:snapToGrid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排水管道、水沟倒入消毒水</w:t>
            </w:r>
          </w:p>
        </w:tc>
        <w:tc>
          <w:tcPr>
            <w:tcW w:w="1268" w:type="dxa"/>
            <w:vAlign w:val="center"/>
          </w:tcPr>
          <w:p>
            <w:pPr>
              <w:snapToGrid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地面地漏、水渠等撒消毒粉</w:t>
            </w:r>
          </w:p>
        </w:tc>
        <w:tc>
          <w:tcPr>
            <w:tcW w:w="1141" w:type="dxa"/>
            <w:gridSpan w:val="2"/>
            <w:vAlign w:val="center"/>
          </w:tcPr>
          <w:p>
            <w:pPr>
              <w:snapToGrid w:val="0"/>
              <w:rPr>
                <w:rFonts w:hint="eastAsia" w:ascii="仿宋_GB2312" w:hAnsi="仿宋_GB2312" w:eastAsia="仿宋_GB2312" w:cs="仿宋_GB2312"/>
                <w:color w:val="auto"/>
                <w:szCs w:val="21"/>
                <w:highlight w:val="none"/>
              </w:rPr>
            </w:pPr>
          </w:p>
        </w:tc>
        <w:tc>
          <w:tcPr>
            <w:tcW w:w="1589" w:type="dxa"/>
            <w:gridSpan w:val="8"/>
            <w:vAlign w:val="center"/>
          </w:tcPr>
          <w:p>
            <w:pPr>
              <w:snapToGrid w:val="0"/>
              <w:rPr>
                <w:rFonts w:hint="eastAsia" w:ascii="仿宋_GB2312" w:hAnsi="仿宋_GB2312" w:eastAsia="仿宋_GB2312" w:cs="仿宋_GB2312"/>
                <w:b/>
                <w:color w:val="auto"/>
                <w:szCs w:val="21"/>
                <w:highlight w:val="none"/>
              </w:rPr>
            </w:pPr>
          </w:p>
        </w:tc>
      </w:tr>
    </w:tbl>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55" w:firstLineChars="200"/>
        <w:textAlignment w:val="auto"/>
        <w:outlineLvl w:val="9"/>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备注：</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1、“随时”指每日清洁次数不少于6次；</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商业楼卫生间保持室内空气清新无异味；卫生间内摆放装饰盆栽；监督并阻止任何人员在卫生间内吸烟、清洗餐具等有损形象之行为；卫生间外门须随时保持关闭状态，不得长时间敞开；按要求填写《卫生间清洁签到表》；保洁细节：</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营业前：按次序清洁卫生间：洗手池台面、镜面、座便器、小便池、门面、地面；检查并补充卫生易耗品，包括洗手液、卫生纸、垃圾袋；检查各种设备设施完好情况，如面盆下水、座便冲水是否顺畅，水龙头、小便池感应是否灵敏，隔断门锁是否好用，顶部照明是否全部开启，有无漏水现象，有无设备设施丢失损坏现象等；如有任何故障，须立即向主管汇报；擦拭座便器、小便池壁等位置抹布必须与擦拭其它部位抹布分开放置；擦拭水龙头、皂液器等电镀件时，严禁使用任何酸性药剂；</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营业时：洗手池台面、镜面及水龙头、皂液器要随时擦干（注意不得在客人正在洗手时擦拭）；及时补充卫生易耗品；座便器、小便池内杂物须及时清理，并擦拭溅出水迹；检查废纸篓内废弃物是否超过2/3，须及时更换垃圾袋；外门、隔断门上手印、脚印及时清除；</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3）营业后：将卫生间内所有残留水迹位置擦干；检查废纸篓内是否有废弃物，严禁垃圾过夜；将座便器、小便池刷净。</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3、商业楼装修店铺门前区域须加大清洁力度及频率；</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4、商业区域公共通道天花日常清洁：</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普通天花清洁内容：每周三营业结束后架梯进行（根据实际情况可调整为每两周1次）；使用较干抹布擦拭筒灯、灯管等照明设施；将风口取下后，使用潮抹布擦拭；用掸子拭去天花造型区的灰尘；对工程人员维修天花上的设备设施后留下的污渍清理须在发现当日非营业时间内进行。</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高区天花清洁内容：每周三营业结束后使用升降车进行（根据实际情况可调整为每两周1次）；在作业区域应设置防护区并完全封闭；使用较干抹布擦拭筒灯、灯管等照明设施；将风口取下后，使用潮抹布擦拭；使用潮抹布擦拭顶棚。</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岗位要求：任何天花清洁工作不得在营业时间内进行；清洁时须注意对各种设备设施的爱护，避免坠物；清洁时取下的设备设施，在清洁后须放回原位；对烟感、喷淋等消防设施不得随意清洁；高区天花清洁须熟练操作升降机，并作好防护工作。</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5、商业区域公共通道（步行梯、消防通道及楼梯）日常清洁：</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公共通道及步行梯</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1）开始营业前：用尘推进行初步清洁，推尘时须注意直线推进；将墩布投净拧干，有序墩擦地面；</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营业时间内：每30分钟对通道地面有序推尘一次；每2小时对步行梯台阶用较干墩布墩擦一次，同时用潮抹布对楼梯扶手擦拭一遍；地面遗撒污物时，必须立即用扫把、簸萁清除干净，垃圾须随手放进垃圾桶内；遗洒液体（尤其是饮料等有色液体）时，必须立即擦拭 ；对公共通道的墙面，以及墙面上的设备设施（如消火栓表面），须每2日用潮抹布擦拭一次；公共通道墙面上悬挂的广告灯箱、指示牌立面，须每日用潮抹布擦拭一次；</w:t>
      </w:r>
    </w:p>
    <w:p>
      <w:pPr>
        <w:keepNext w:val="0"/>
        <w:keepLines w:val="0"/>
        <w:pageBreakBefore w:val="0"/>
        <w:widowControl w:val="0"/>
        <w:tabs>
          <w:tab w:val="left" w:pos="750"/>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w:t>
      </w:r>
      <w:r>
        <w:rPr>
          <w:rFonts w:hint="eastAsia" w:ascii="仿宋_GB2312" w:hAnsi="仿宋_GB2312" w:eastAsia="仿宋_GB2312" w:cs="仿宋_GB2312"/>
          <w:color w:val="auto"/>
          <w:sz w:val="28"/>
          <w:szCs w:val="28"/>
          <w:highlight w:val="none"/>
        </w:rPr>
        <w:tab/>
      </w:r>
      <w:r>
        <w:rPr>
          <w:rFonts w:hint="eastAsia" w:ascii="仿宋_GB2312" w:hAnsi="仿宋_GB2312" w:eastAsia="仿宋_GB2312" w:cs="仿宋_GB2312"/>
          <w:color w:val="auto"/>
          <w:sz w:val="28"/>
          <w:szCs w:val="28"/>
          <w:highlight w:val="none"/>
        </w:rPr>
        <w:t>营业结束后：将所有通道用较湿墩布墩擦一次，并自然晾干。</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消防通道及楼梯</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每日12:00前、17:00前、20:30前三次用扫把、簸萁清理地面灰尘、垃圾；每日15:00前、20:30前两次用较干抹布擦拭消防门、墙面等；每周2次用84消毒液墩擦通道地面、台阶。</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6、商业区域公共石材地面清洗</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每周一营业结束后进行：先用尘推将地面推净；在清洁区域应放置“小心地滑”告示牌；接驳电源时应用防水胶带固定并封闭电线；进入现场清洁人员应使用鞋套；接好电源后，根据地面污染情况按比例调配药剂，倒入洗地机水箱中；使用洗地机对地面进行横向旋转清洗；用吸水机将清洗过地面污物洗净；将墩布拧干后对吸干地面墩擦2-3遍；用吹风机对墩擦过的地面进行吹干；检查地面清洗情况，如仍有污渍，须安排进行重点清洁；</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2）大理石、花岗岩墙/地面清洗、打蜡、抛光每月一次。</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7、商业区域店铺外立面玻璃、所有楼层公共区域内玻璃每月至少刮拭一次。</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55" w:firstLineChars="200"/>
        <w:textAlignment w:val="auto"/>
        <w:outlineLvl w:val="9"/>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七、公区灭害要求细则</w:t>
      </w:r>
    </w:p>
    <w:p>
      <w:pPr>
        <w:keepNext w:val="0"/>
        <w:keepLines w:val="0"/>
        <w:pageBreakBefore w:val="0"/>
        <w:widowControl w:val="0"/>
        <w:numPr>
          <w:ilvl w:val="0"/>
          <w:numId w:val="8"/>
        </w:numPr>
        <w:tabs>
          <w:tab w:val="left" w:pos="400"/>
          <w:tab w:val="left" w:pos="851"/>
          <w:tab w:val="left" w:pos="900"/>
        </w:tabs>
        <w:kinsoku/>
        <w:wordWrap/>
        <w:overflowPunct/>
        <w:topLinePunct w:val="0"/>
        <w:autoSpaceDE/>
        <w:autoSpaceDN/>
        <w:bidi w:val="0"/>
        <w:adjustRightInd/>
        <w:snapToGrid w:val="0"/>
        <w:spacing w:line="560" w:lineRule="exact"/>
        <w:ind w:left="0" w:right="0" w:rightChars="0" w:firstLine="455" w:firstLineChars="200"/>
        <w:jc w:val="left"/>
        <w:textAlignment w:val="auto"/>
        <w:outlineLvl w:val="9"/>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灭害要求</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乙方需派驻经甲方项目所在市、区除四害协会培训合格并持有上岗证专业操作人员，为甲方完成服务范围内除害工作：</w:t>
      </w:r>
    </w:p>
    <w:p>
      <w:pPr>
        <w:keepNext w:val="0"/>
        <w:keepLines w:val="0"/>
        <w:pageBreakBefore w:val="0"/>
        <w:widowControl w:val="0"/>
        <w:numPr>
          <w:ilvl w:val="0"/>
          <w:numId w:val="9"/>
        </w:numPr>
        <w:tabs>
          <w:tab w:val="left" w:pos="851"/>
        </w:tabs>
        <w:kinsoku/>
        <w:wordWrap/>
        <w:overflowPunct/>
        <w:topLinePunct w:val="0"/>
        <w:autoSpaceDE/>
        <w:autoSpaceDN/>
        <w:bidi w:val="0"/>
        <w:adjustRightInd/>
        <w:snapToGrid w:val="0"/>
        <w:spacing w:line="560" w:lineRule="exact"/>
        <w:ind w:left="0" w:right="0" w:rightChars="0" w:firstLine="420" w:firstLineChars="200"/>
        <w:jc w:val="left"/>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全年灭鼠48次，鼠密度测试4次，每季度1次。</w:t>
      </w:r>
    </w:p>
    <w:p>
      <w:pPr>
        <w:keepNext w:val="0"/>
        <w:keepLines w:val="0"/>
        <w:pageBreakBefore w:val="0"/>
        <w:widowControl w:val="0"/>
        <w:numPr>
          <w:ilvl w:val="0"/>
          <w:numId w:val="9"/>
        </w:numPr>
        <w:tabs>
          <w:tab w:val="left" w:pos="851"/>
        </w:tabs>
        <w:kinsoku/>
        <w:wordWrap/>
        <w:overflowPunct/>
        <w:topLinePunct w:val="0"/>
        <w:autoSpaceDE/>
        <w:autoSpaceDN/>
        <w:bidi w:val="0"/>
        <w:adjustRightInd/>
        <w:snapToGrid w:val="0"/>
        <w:spacing w:line="560" w:lineRule="exact"/>
        <w:ind w:left="0" w:right="0" w:rightChars="0" w:firstLine="420" w:firstLineChars="200"/>
        <w:jc w:val="left"/>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全年灭蚊、蝇至少48次。</w:t>
      </w:r>
    </w:p>
    <w:p>
      <w:pPr>
        <w:keepNext w:val="0"/>
        <w:keepLines w:val="0"/>
        <w:pageBreakBefore w:val="0"/>
        <w:widowControl w:val="0"/>
        <w:numPr>
          <w:ilvl w:val="0"/>
          <w:numId w:val="9"/>
        </w:numPr>
        <w:tabs>
          <w:tab w:val="left" w:pos="851"/>
        </w:tabs>
        <w:kinsoku/>
        <w:wordWrap/>
        <w:overflowPunct/>
        <w:topLinePunct w:val="0"/>
        <w:autoSpaceDE/>
        <w:autoSpaceDN/>
        <w:bidi w:val="0"/>
        <w:adjustRightInd/>
        <w:snapToGrid w:val="0"/>
        <w:spacing w:line="560" w:lineRule="exact"/>
        <w:ind w:left="0" w:right="0" w:rightChars="0" w:firstLine="420" w:firstLineChars="200"/>
        <w:jc w:val="left"/>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年灭蟑、蚁、跳蚤至少12次。</w:t>
      </w:r>
    </w:p>
    <w:p>
      <w:pPr>
        <w:keepNext w:val="0"/>
        <w:keepLines w:val="0"/>
        <w:pageBreakBefore w:val="0"/>
        <w:widowControl w:val="0"/>
        <w:numPr>
          <w:ilvl w:val="0"/>
          <w:numId w:val="9"/>
        </w:numPr>
        <w:tabs>
          <w:tab w:val="left" w:pos="851"/>
        </w:tabs>
        <w:kinsoku/>
        <w:wordWrap/>
        <w:overflowPunct/>
        <w:topLinePunct w:val="0"/>
        <w:autoSpaceDE/>
        <w:autoSpaceDN/>
        <w:bidi w:val="0"/>
        <w:adjustRightInd/>
        <w:snapToGrid w:val="0"/>
        <w:spacing w:line="560" w:lineRule="exact"/>
        <w:ind w:left="0" w:right="0" w:rightChars="0" w:firstLine="420" w:firstLineChars="200"/>
        <w:jc w:val="left"/>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夏季除害工作繁忙时或遇特殊情况时，乙方应按甲方要求或根据实际需要酌情增加灭害次数。</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55" w:firstLineChars="200"/>
        <w:textAlignment w:val="auto"/>
        <w:outlineLvl w:val="9"/>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2、灭害效果</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乙方根据甲方单位特点和除害种类有针对性采取科学、规范、综合性杀灭措施，有效降低和控制虫害密度，达到爱国卫生运动委员会规定除四害工作管理目标：</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1）灭鼠：粉剂法&lt;3%、鼠征法&lt;2%、鼠夹法&lt;1%，重点单位防鼠设施不合格处不超过5%，不同类型外环境等计2000米，鼠迹不超过3处。</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2）灭蚊：大型单位蚊虫孳生地总面积不超过5平方米，单位内部无成蚊聚集。</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3）灭蝇：大型单位苍蝇孳生地总面积不超过5平方米，幼虫和蛹捡出率不超过3%.</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4）灭蟑：室内有蟑螂成虫或若虫阳性率房间不超过3%，平均每间房间大蠊不超过2只，小蠊不超过1只。</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5）灭蚁：对于苑区及室内出现的蚂蚁及蚁巢，应及时予以灭除。</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6）其它：苑区内发现任何其它卫生害虫迹象，应及时予以灭除。</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55" w:firstLineChars="200"/>
        <w:textAlignment w:val="auto"/>
        <w:outlineLvl w:val="9"/>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八、紧急情况处理</w:t>
      </w:r>
    </w:p>
    <w:p>
      <w:pPr>
        <w:keepNext w:val="0"/>
        <w:keepLines w:val="0"/>
        <w:pageBreakBefore w:val="0"/>
        <w:widowControl w:val="0"/>
        <w:numPr>
          <w:ilvl w:val="0"/>
          <w:numId w:val="10"/>
        </w:numPr>
        <w:tabs>
          <w:tab w:val="left" w:pos="851"/>
        </w:tabs>
        <w:kinsoku/>
        <w:wordWrap/>
        <w:overflowPunct/>
        <w:topLinePunct w:val="0"/>
        <w:autoSpaceDE/>
        <w:autoSpaceDN/>
        <w:bidi w:val="0"/>
        <w:adjustRightInd/>
        <w:snapToGrid w:val="0"/>
        <w:spacing w:line="560" w:lineRule="exact"/>
        <w:ind w:left="0" w:right="0" w:rightChars="0" w:firstLine="455" w:firstLineChars="200"/>
        <w:jc w:val="left"/>
        <w:textAlignment w:val="auto"/>
        <w:outlineLvl w:val="9"/>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下雨、下雪</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1）紧急调配人员，准备工具，下雨、下雪十分钟内准备完毕，到达指定位置。</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2）在电梯门外应保证专人。</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3）在上述位置及连接会所、商业楼各通道口明显处放置“小心地滑”告示牌。</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4）持较干墩布随时清洁地面积雪或水迹；使用干抹布随时清洁扶梯扶手、电梯轿箱</w:t>
      </w:r>
    </w:p>
    <w:p>
      <w:pPr>
        <w:keepNext w:val="0"/>
        <w:keepLines w:val="0"/>
        <w:pageBreakBefore w:val="0"/>
        <w:widowControl w:val="0"/>
        <w:numPr>
          <w:ilvl w:val="0"/>
          <w:numId w:val="10"/>
        </w:numPr>
        <w:tabs>
          <w:tab w:val="left" w:pos="851"/>
        </w:tabs>
        <w:kinsoku/>
        <w:wordWrap/>
        <w:overflowPunct/>
        <w:topLinePunct w:val="0"/>
        <w:autoSpaceDE/>
        <w:autoSpaceDN/>
        <w:bidi w:val="0"/>
        <w:adjustRightInd/>
        <w:snapToGrid w:val="0"/>
        <w:spacing w:line="560" w:lineRule="exact"/>
        <w:ind w:left="0" w:right="0" w:rightChars="0" w:firstLine="455" w:firstLineChars="200"/>
        <w:jc w:val="left"/>
        <w:textAlignment w:val="auto"/>
        <w:outlineLvl w:val="9"/>
        <w:rPr>
          <w:rFonts w:hint="eastAsia" w:ascii="仿宋_GB2312" w:hAnsi="仿宋_GB2312" w:eastAsia="仿宋_GB2312" w:cs="仿宋_GB2312"/>
          <w:b/>
          <w:color w:val="auto"/>
          <w:sz w:val="28"/>
          <w:szCs w:val="28"/>
          <w:highlight w:val="none"/>
          <w:lang w:eastAsia="zh-TW"/>
        </w:rPr>
      </w:pPr>
      <w:r>
        <w:rPr>
          <w:rFonts w:hint="eastAsia" w:ascii="仿宋_GB2312" w:hAnsi="仿宋_GB2312" w:eastAsia="仿宋_GB2312" w:cs="仿宋_GB2312"/>
          <w:b/>
          <w:color w:val="auto"/>
          <w:sz w:val="28"/>
          <w:szCs w:val="28"/>
          <w:highlight w:val="none"/>
        </w:rPr>
        <w:t>漏水</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1）发生事故十分钟内，清洁驻场经理或当值主管应带领抢水人员（视跑水严重情况而定抢水人员数量，但至少不少于两人）及抢水工具到达现场。</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2）放置“小心地滑”告示牌在跑水区域四周明显位置，参加抢水人员应换上雨鞋。</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3）接通附近电源，使用吸水机清理积水。</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4）如附近无电源，应使用簸萁、水桶等手工清掏。</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5）清理积水后，立即用干墩布擦水地面上水迹。</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6）清洁附近因跑水造成污染区域。</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7）协助维修人员进行设备维修。</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8）留有专人负责清理现场，并观察是否彻底解决。</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9）检查附近区域是否还有渗水现象，并及时上报。</w:t>
      </w:r>
    </w:p>
    <w:p>
      <w:pPr>
        <w:keepNext w:val="0"/>
        <w:keepLines w:val="0"/>
        <w:pageBreakBefore w:val="0"/>
        <w:widowControl w:val="0"/>
        <w:numPr>
          <w:ilvl w:val="0"/>
          <w:numId w:val="10"/>
        </w:numPr>
        <w:tabs>
          <w:tab w:val="left" w:pos="851"/>
        </w:tabs>
        <w:kinsoku/>
        <w:wordWrap/>
        <w:overflowPunct/>
        <w:topLinePunct w:val="0"/>
        <w:autoSpaceDE/>
        <w:autoSpaceDN/>
        <w:bidi w:val="0"/>
        <w:adjustRightInd/>
        <w:snapToGrid w:val="0"/>
        <w:spacing w:line="560" w:lineRule="exact"/>
        <w:ind w:left="0" w:right="0" w:rightChars="0" w:firstLine="455" w:firstLineChars="200"/>
        <w:jc w:val="left"/>
        <w:textAlignment w:val="auto"/>
        <w:outlineLvl w:val="9"/>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大风、沙尘暴</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1）观察风沙情况，当日加派专人对各通道入口处反复不断持续推尘。</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2）根据实际情况在营业结束后对尘土聚积较多区域进行突击清洁。</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3）风沙结束后在非营业时间内对靠近各入口处通道地面、墙面、天花由上至下进行彻底清洁。</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55" w:firstLineChars="200"/>
        <w:textAlignment w:val="auto"/>
        <w:outlineLvl w:val="9"/>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九、保洁服务工作核查标准</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left="420" w:right="0" w:rightChars="0"/>
        <w:jc w:val="left"/>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1、道路、广场、停车场、绿地、天台等公共场所：地面无杂物、无污染、无垃圾、无积水、无泥沙、无香口胶质，地砖保持本色；</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left="420" w:right="0" w:rightChars="0"/>
        <w:jc w:val="left"/>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2、会所室内地面：目视无灰尘、污迹，可映出照明灯具之轮廓；</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left="420" w:right="0" w:rightChars="0"/>
        <w:jc w:val="left"/>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3、消防通道、楼梯间：</w:t>
      </w:r>
    </w:p>
    <w:p>
      <w:pPr>
        <w:keepNext w:val="0"/>
        <w:keepLines w:val="0"/>
        <w:pageBreakBefore w:val="0"/>
        <w:widowControl w:val="0"/>
        <w:numPr>
          <w:ilvl w:val="0"/>
          <w:numId w:val="11"/>
        </w:numPr>
        <w:tabs>
          <w:tab w:val="left" w:pos="851"/>
        </w:tabs>
        <w:kinsoku/>
        <w:wordWrap/>
        <w:overflowPunct/>
        <w:topLinePunct w:val="0"/>
        <w:autoSpaceDE/>
        <w:autoSpaceDN/>
        <w:bidi w:val="0"/>
        <w:adjustRightInd/>
        <w:snapToGrid w:val="0"/>
        <w:spacing w:line="560" w:lineRule="exact"/>
        <w:ind w:left="0" w:right="0" w:rightChars="0" w:firstLine="420" w:firstLineChars="200"/>
        <w:jc w:val="left"/>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台阶干净无杂物、无污迹；</w:t>
      </w:r>
    </w:p>
    <w:p>
      <w:pPr>
        <w:keepNext w:val="0"/>
        <w:keepLines w:val="0"/>
        <w:pageBreakBefore w:val="0"/>
        <w:widowControl w:val="0"/>
        <w:numPr>
          <w:ilvl w:val="0"/>
          <w:numId w:val="11"/>
        </w:numPr>
        <w:tabs>
          <w:tab w:val="left" w:pos="851"/>
        </w:tabs>
        <w:kinsoku/>
        <w:wordWrap/>
        <w:overflowPunct/>
        <w:topLinePunct w:val="0"/>
        <w:autoSpaceDE/>
        <w:autoSpaceDN/>
        <w:bidi w:val="0"/>
        <w:adjustRightInd/>
        <w:snapToGrid w:val="0"/>
        <w:spacing w:line="560" w:lineRule="exact"/>
        <w:ind w:left="0" w:right="0" w:rightChars="0" w:firstLine="420" w:firstLineChars="200"/>
        <w:jc w:val="left"/>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用纸巾擦拭楼梯扶手，无明显污染；</w:t>
      </w:r>
    </w:p>
    <w:p>
      <w:pPr>
        <w:keepNext w:val="0"/>
        <w:keepLines w:val="0"/>
        <w:pageBreakBefore w:val="0"/>
        <w:widowControl w:val="0"/>
        <w:numPr>
          <w:ilvl w:val="0"/>
          <w:numId w:val="11"/>
        </w:numPr>
        <w:tabs>
          <w:tab w:val="left" w:pos="851"/>
        </w:tabs>
        <w:kinsoku/>
        <w:wordWrap/>
        <w:overflowPunct/>
        <w:topLinePunct w:val="0"/>
        <w:autoSpaceDE/>
        <w:autoSpaceDN/>
        <w:bidi w:val="0"/>
        <w:adjustRightInd/>
        <w:snapToGrid w:val="0"/>
        <w:spacing w:line="560" w:lineRule="exact"/>
        <w:ind w:left="0" w:right="0" w:rightChars="0" w:firstLine="420" w:firstLineChars="200"/>
        <w:jc w:val="left"/>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通道墙面砖：中等力度用纸巾擦拭60公分后，无明显污染；</w:t>
      </w:r>
    </w:p>
    <w:p>
      <w:pPr>
        <w:keepNext w:val="0"/>
        <w:keepLines w:val="0"/>
        <w:pageBreakBefore w:val="0"/>
        <w:widowControl w:val="0"/>
        <w:numPr>
          <w:ilvl w:val="0"/>
          <w:numId w:val="11"/>
        </w:numPr>
        <w:tabs>
          <w:tab w:val="left" w:pos="851"/>
        </w:tabs>
        <w:kinsoku/>
        <w:wordWrap/>
        <w:overflowPunct/>
        <w:topLinePunct w:val="0"/>
        <w:autoSpaceDE/>
        <w:autoSpaceDN/>
        <w:bidi w:val="0"/>
        <w:adjustRightInd/>
        <w:snapToGrid w:val="0"/>
        <w:spacing w:line="560" w:lineRule="exact"/>
        <w:ind w:left="0" w:right="0" w:rightChars="0" w:firstLine="420" w:firstLineChars="200"/>
        <w:jc w:val="left"/>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窗台及轨槽无灰尘、污迹；</w:t>
      </w:r>
    </w:p>
    <w:p>
      <w:pPr>
        <w:keepNext w:val="0"/>
        <w:keepLines w:val="0"/>
        <w:pageBreakBefore w:val="0"/>
        <w:widowControl w:val="0"/>
        <w:numPr>
          <w:ilvl w:val="0"/>
          <w:numId w:val="11"/>
        </w:numPr>
        <w:tabs>
          <w:tab w:val="left" w:pos="851"/>
        </w:tabs>
        <w:kinsoku/>
        <w:wordWrap/>
        <w:overflowPunct/>
        <w:topLinePunct w:val="0"/>
        <w:autoSpaceDE/>
        <w:autoSpaceDN/>
        <w:bidi w:val="0"/>
        <w:adjustRightInd/>
        <w:snapToGrid w:val="0"/>
        <w:spacing w:line="560" w:lineRule="exact"/>
        <w:ind w:left="0" w:right="0" w:rightChars="0" w:firstLine="420" w:firstLineChars="200"/>
        <w:jc w:val="left"/>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墙面喷涂层：无积尘、无污迹；</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left="432" w:right="0" w:rightChars="0"/>
        <w:jc w:val="left"/>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4、天花板：目视无蜘蛛网，无明显污迹；</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left="420" w:right="0" w:rightChars="0"/>
        <w:jc w:val="left"/>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5、不锈钢：亚光面不锈钢表面无污迹、无灰尘，半米人可映出人影；镜面不锈钢表面光亮，三米内能清晰映出人物影像；</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left="420" w:right="0" w:rightChars="0"/>
        <w:jc w:val="left"/>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6、玻璃清洁标准：一般玻璃目视无灰尘、无水珠、光洁明亮；</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left="420" w:right="0" w:rightChars="0"/>
        <w:jc w:val="left"/>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7、室内外管线及各种公用设施保持无杂物、积尘。灯饰、按钮无尘渍、污迹；</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left="420" w:right="0" w:rightChars="0"/>
        <w:jc w:val="left"/>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8、公区道路地砖：按细则要求定期冲洗，五杂物、积尘。灯饰、按钮物尘渍、污迹；</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left="420" w:right="0" w:rightChars="0"/>
        <w:jc w:val="left"/>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9、外墙、公区设备（指示牌、路灯、柱灯灯）干净、无污迹、无尘渍、无水垢；</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10、沟、渠、井内无垃圾、无杂物、无明显泥沙，保持通畅无堵塞；</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11、厨房、洗手间：无污迹、无臭味、无锈迹、无积水，墙面光洁照人；</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12、阳台栏杆、厨柜及门窗内外、木地板、开关盒、地脚线等用纸巾擦拭无污染；</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left="420" w:right="0" w:rightChars="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13、垃圾房、垃圾转运站的垃圾清运及时，无超容量或长时间堆积，无垃圾散落，经常清洗消毒、保持无腐臭，无蚊蝇老鼠蟑螂；</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14、喷水池、人工湖无漂浮物，池内换水时进行全面冲洗清洁；</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15、除“四害”：达到国家除“四害”管理规定标准并获取政府相关验收文件；</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16、员工：着装统一、标志齐全、仪表整洁，无大声喧哗、无不文明行为及语言。</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55" w:firstLineChars="200"/>
        <w:textAlignment w:val="auto"/>
        <w:outlineLvl w:val="9"/>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十、保洁人员工作要求</w:t>
      </w:r>
    </w:p>
    <w:p>
      <w:pPr>
        <w:keepNext w:val="0"/>
        <w:keepLines w:val="0"/>
        <w:pageBreakBefore w:val="0"/>
        <w:widowControl w:val="0"/>
        <w:numPr>
          <w:ilvl w:val="0"/>
          <w:numId w:val="12"/>
        </w:numPr>
        <w:tabs>
          <w:tab w:val="left" w:pos="400"/>
          <w:tab w:val="left" w:pos="851"/>
        </w:tabs>
        <w:kinsoku/>
        <w:wordWrap/>
        <w:overflowPunct/>
        <w:topLinePunct w:val="0"/>
        <w:autoSpaceDE/>
        <w:autoSpaceDN/>
        <w:bidi w:val="0"/>
        <w:adjustRightInd/>
        <w:snapToGrid w:val="0"/>
        <w:spacing w:line="560" w:lineRule="exact"/>
        <w:ind w:left="0" w:right="0" w:rightChars="0" w:firstLine="455" w:firstLineChars="200"/>
        <w:jc w:val="left"/>
        <w:textAlignment w:val="auto"/>
        <w:outlineLvl w:val="9"/>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仪容仪表</w:t>
      </w:r>
    </w:p>
    <w:p>
      <w:pPr>
        <w:keepNext w:val="0"/>
        <w:keepLines w:val="0"/>
        <w:pageBreakBefore w:val="0"/>
        <w:widowControl w:val="0"/>
        <w:tabs>
          <w:tab w:val="left" w:pos="400"/>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上班时间必须着甲方指定样式的工服，纽扣须全部扣上，穿黑色布鞋，不邋遢；应在工服上衣统一位置佩戴胸牌；头发、指甲须修剪整齐、干净，不得佩戴妨碍工作首饰（如耳坠、戒指等）；身上无任何异味（如汗味、烟味）；女保洁员上班时间内不得化浓妆，长发应束起并盘入头花内；男保洁员须刮净胡须，不得留过耳长发。</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2）在公共区域站立、行走时应注意姿态，不应双手叉腰、插兜或交叉横于胸前。</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3）上班时间内须讲普通话，不得用方言与人交谈，不得口带脏字。</w:t>
      </w:r>
    </w:p>
    <w:p>
      <w:pPr>
        <w:keepNext w:val="0"/>
        <w:keepLines w:val="0"/>
        <w:pageBreakBefore w:val="0"/>
        <w:widowControl w:val="0"/>
        <w:numPr>
          <w:ilvl w:val="0"/>
          <w:numId w:val="12"/>
        </w:numPr>
        <w:tabs>
          <w:tab w:val="left" w:pos="400"/>
          <w:tab w:val="left" w:pos="851"/>
        </w:tabs>
        <w:kinsoku/>
        <w:wordWrap/>
        <w:overflowPunct/>
        <w:topLinePunct w:val="0"/>
        <w:autoSpaceDE/>
        <w:autoSpaceDN/>
        <w:bidi w:val="0"/>
        <w:adjustRightInd/>
        <w:snapToGrid w:val="0"/>
        <w:spacing w:line="560" w:lineRule="exact"/>
        <w:ind w:left="0" w:right="0" w:rightChars="0" w:firstLine="455" w:firstLineChars="200"/>
        <w:jc w:val="left"/>
        <w:textAlignment w:val="auto"/>
        <w:outlineLvl w:val="9"/>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工作纪律</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1）上班时间内应专人专岗，同一区域内不应超过两人（卫生间仅一人），不得扎堆聊天、大声喧哗，不得与专柜员工聊侃。</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2）上班时间内不得在消防楼梯坐卧休息。</w:t>
      </w:r>
    </w:p>
    <w:p>
      <w:pPr>
        <w:keepNext w:val="0"/>
        <w:keepLines w:val="0"/>
        <w:pageBreakBefore w:val="0"/>
        <w:widowControl w:val="0"/>
        <w:tabs>
          <w:tab w:val="left" w:pos="400"/>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3）卫生间清洁工作不得由异性保洁员进行；上班时间内不得在卫生间内长时间逗留。</w:t>
      </w:r>
    </w:p>
    <w:p>
      <w:pPr>
        <w:keepNext w:val="0"/>
        <w:keepLines w:val="0"/>
        <w:pageBreakBefore w:val="0"/>
        <w:widowControl w:val="0"/>
        <w:tabs>
          <w:tab w:val="left" w:pos="400"/>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发现问题应及时汇报：捡拾物品立即上交，不得私自收藏；发现可疑人员应立即通知附近保安人员；设备设施故障或丢失一经发现应立即告知上级主管；出现险情应立即进行紧急处理，并在第一时间内告知上级主管。</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5）上班时间内不得进入商业、会所功能房或专柜内坐卧，或观赏、触摸货品或设备。</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6）严禁任何偷盗、违法行为，以及类似原因引起客户投诉。</w:t>
      </w:r>
    </w:p>
    <w:p>
      <w:pPr>
        <w:keepNext w:val="0"/>
        <w:keepLines w:val="0"/>
        <w:pageBreakBefore w:val="0"/>
        <w:widowControl w:val="0"/>
        <w:numPr>
          <w:ilvl w:val="0"/>
          <w:numId w:val="12"/>
        </w:numPr>
        <w:tabs>
          <w:tab w:val="left" w:pos="400"/>
          <w:tab w:val="left" w:pos="851"/>
        </w:tabs>
        <w:kinsoku/>
        <w:wordWrap/>
        <w:overflowPunct/>
        <w:topLinePunct w:val="0"/>
        <w:autoSpaceDE/>
        <w:autoSpaceDN/>
        <w:bidi w:val="0"/>
        <w:adjustRightInd/>
        <w:snapToGrid w:val="0"/>
        <w:spacing w:line="560" w:lineRule="exact"/>
        <w:ind w:left="0" w:right="0" w:rightChars="0" w:firstLine="455" w:firstLineChars="200"/>
        <w:jc w:val="left"/>
        <w:textAlignment w:val="auto"/>
        <w:outlineLvl w:val="9"/>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服务要求</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lang w:eastAsia="zh-TW"/>
        </w:rPr>
      </w:pPr>
      <w:r>
        <w:rPr>
          <w:rFonts w:hint="eastAsia" w:ascii="仿宋_GB2312" w:hAnsi="仿宋_GB2312" w:eastAsia="仿宋_GB2312" w:cs="仿宋_GB2312"/>
          <w:color w:val="auto"/>
          <w:sz w:val="28"/>
          <w:szCs w:val="28"/>
          <w:highlight w:val="none"/>
        </w:rPr>
        <w:t>1）见到客人（包括员工）要点头微笑，并向其主动问候。</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lang w:eastAsia="zh-TW"/>
        </w:rPr>
      </w:pPr>
      <w:r>
        <w:rPr>
          <w:rFonts w:hint="eastAsia" w:ascii="仿宋_GB2312" w:hAnsi="仿宋_GB2312" w:eastAsia="仿宋_GB2312" w:cs="仿宋_GB2312"/>
          <w:color w:val="auto"/>
          <w:sz w:val="28"/>
          <w:szCs w:val="28"/>
          <w:highlight w:val="none"/>
        </w:rPr>
        <w:t>2）熟练使用清洁工具，熟悉公共区域内设备设施，熟悉项目路线。</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lang w:eastAsia="zh-TW"/>
        </w:rPr>
      </w:pPr>
      <w:r>
        <w:rPr>
          <w:rFonts w:hint="eastAsia" w:ascii="仿宋_GB2312" w:hAnsi="仿宋_GB2312" w:eastAsia="仿宋_GB2312" w:cs="仿宋_GB2312"/>
          <w:color w:val="auto"/>
          <w:sz w:val="28"/>
          <w:szCs w:val="28"/>
          <w:highlight w:val="none"/>
        </w:rPr>
        <w:t>3）遇客人不会使用公共区域内设备设施（如卫生间设备），应热情向其讲解示范；遇询问事宜，应尽可能详细解答，但不得随意编造或发牢骚。</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20" w:firstLineChars="200"/>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4）对自己所辖区域内的公共卫生及时清洁、维护。</w:t>
      </w:r>
    </w:p>
    <w:p>
      <w:pPr>
        <w:keepNext w:val="0"/>
        <w:keepLines w:val="0"/>
        <w:pageBreakBefore w:val="0"/>
        <w:widowControl w:val="0"/>
        <w:tabs>
          <w:tab w:val="left" w:pos="851"/>
        </w:tabs>
        <w:kinsoku/>
        <w:wordWrap/>
        <w:overflowPunct/>
        <w:topLinePunct w:val="0"/>
        <w:autoSpaceDE/>
        <w:autoSpaceDN/>
        <w:bidi w:val="0"/>
        <w:adjustRightInd/>
        <w:snapToGrid w:val="0"/>
        <w:spacing w:line="560" w:lineRule="exact"/>
        <w:ind w:right="0" w:rightChars="0" w:firstLine="455" w:firstLineChars="200"/>
        <w:textAlignment w:val="auto"/>
        <w:outlineLvl w:val="9"/>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十一、保洁服务管理注意事要</w:t>
      </w:r>
    </w:p>
    <w:p>
      <w:pPr>
        <w:keepNext w:val="0"/>
        <w:keepLines w:val="0"/>
        <w:pageBreakBefore w:val="0"/>
        <w:widowControl w:val="0"/>
        <w:numPr>
          <w:ilvl w:val="0"/>
          <w:numId w:val="13"/>
        </w:numPr>
        <w:tabs>
          <w:tab w:val="left" w:pos="500"/>
          <w:tab w:val="left" w:pos="851"/>
        </w:tabs>
        <w:kinsoku/>
        <w:wordWrap/>
        <w:overflowPunct/>
        <w:topLinePunct w:val="0"/>
        <w:autoSpaceDE/>
        <w:autoSpaceDN/>
        <w:bidi w:val="0"/>
        <w:adjustRightInd/>
        <w:snapToGrid w:val="0"/>
        <w:spacing w:line="560" w:lineRule="exact"/>
        <w:ind w:left="0" w:right="0" w:rightChars="0" w:firstLine="420" w:firstLineChars="200"/>
        <w:jc w:val="left"/>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乙方须在每月25日前呈交甲方次月保洁工作计划，并经甲方签字认可。</w:t>
      </w:r>
    </w:p>
    <w:p>
      <w:pPr>
        <w:keepNext w:val="0"/>
        <w:keepLines w:val="0"/>
        <w:pageBreakBefore w:val="0"/>
        <w:widowControl w:val="0"/>
        <w:numPr>
          <w:ilvl w:val="0"/>
          <w:numId w:val="13"/>
        </w:numPr>
        <w:tabs>
          <w:tab w:val="left" w:pos="0"/>
          <w:tab w:val="left" w:pos="500"/>
          <w:tab w:val="left" w:pos="851"/>
        </w:tabs>
        <w:kinsoku/>
        <w:wordWrap/>
        <w:overflowPunct/>
        <w:topLinePunct w:val="0"/>
        <w:autoSpaceDE/>
        <w:autoSpaceDN/>
        <w:bidi w:val="0"/>
        <w:adjustRightInd/>
        <w:snapToGrid w:val="0"/>
        <w:spacing w:line="560" w:lineRule="exact"/>
        <w:ind w:left="0" w:right="0" w:rightChars="0" w:firstLine="420" w:firstLineChars="200"/>
        <w:jc w:val="left"/>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乙方须在每周一提交上周工作汇总详列各项每日例行工作实施情况，并在每月5日前呈交甲方上月工作汇总，详列各项非每日例行保洁工作实施情况，除“四害”消杀工作及垃圾清运必须有经甲方确认文字记录。</w:t>
      </w:r>
    </w:p>
    <w:p>
      <w:pPr>
        <w:keepNext w:val="0"/>
        <w:keepLines w:val="0"/>
        <w:pageBreakBefore w:val="0"/>
        <w:widowControl w:val="0"/>
        <w:numPr>
          <w:ilvl w:val="0"/>
          <w:numId w:val="13"/>
        </w:numPr>
        <w:tabs>
          <w:tab w:val="left" w:pos="500"/>
          <w:tab w:val="left" w:pos="851"/>
        </w:tabs>
        <w:kinsoku/>
        <w:wordWrap/>
        <w:overflowPunct/>
        <w:topLinePunct w:val="0"/>
        <w:autoSpaceDE/>
        <w:autoSpaceDN/>
        <w:bidi w:val="0"/>
        <w:adjustRightInd/>
        <w:snapToGrid w:val="0"/>
        <w:spacing w:line="560" w:lineRule="exact"/>
        <w:ind w:left="0" w:right="0" w:rightChars="0" w:firstLine="420" w:firstLineChars="200"/>
        <w:jc w:val="left"/>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所有清洁物料、工具、设备皆由乙方负责提供。</w:t>
      </w:r>
    </w:p>
    <w:p>
      <w:pPr>
        <w:keepNext w:val="0"/>
        <w:keepLines w:val="0"/>
        <w:pageBreakBefore w:val="0"/>
        <w:widowControl w:val="0"/>
        <w:numPr>
          <w:ilvl w:val="0"/>
          <w:numId w:val="13"/>
        </w:numPr>
        <w:tabs>
          <w:tab w:val="left" w:pos="500"/>
          <w:tab w:val="left" w:pos="851"/>
        </w:tabs>
        <w:kinsoku/>
        <w:wordWrap/>
        <w:overflowPunct/>
        <w:topLinePunct w:val="0"/>
        <w:autoSpaceDE/>
        <w:autoSpaceDN/>
        <w:bidi w:val="0"/>
        <w:adjustRightInd/>
        <w:snapToGrid w:val="0"/>
        <w:spacing w:line="560" w:lineRule="exact"/>
        <w:ind w:left="0" w:right="0" w:rightChars="0" w:firstLine="420" w:firstLineChars="200"/>
        <w:jc w:val="left"/>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乙方每日清倒垃圾时，必须使用黑色垃圾胶袋收集并包扎妥当，不准使用竹篓。</w:t>
      </w:r>
    </w:p>
    <w:p>
      <w:pPr>
        <w:keepNext w:val="0"/>
        <w:keepLines w:val="0"/>
        <w:pageBreakBefore w:val="0"/>
        <w:widowControl w:val="0"/>
        <w:numPr>
          <w:ilvl w:val="0"/>
          <w:numId w:val="13"/>
        </w:numPr>
        <w:tabs>
          <w:tab w:val="left" w:pos="0"/>
          <w:tab w:val="left" w:pos="500"/>
          <w:tab w:val="left" w:pos="851"/>
        </w:tabs>
        <w:kinsoku/>
        <w:wordWrap/>
        <w:overflowPunct/>
        <w:topLinePunct w:val="0"/>
        <w:autoSpaceDE/>
        <w:autoSpaceDN/>
        <w:bidi w:val="0"/>
        <w:adjustRightInd/>
        <w:snapToGrid w:val="0"/>
        <w:spacing w:line="560" w:lineRule="exact"/>
        <w:ind w:left="0" w:right="0" w:rightChars="0" w:firstLine="420" w:firstLineChars="200"/>
        <w:jc w:val="left"/>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乙方必须派员出席甲方举行每月例行清洁沟通会议，并对甲方提出的工作要求、意见及时、积极解决；甲方有权就项目清洁问题向乙方作任何合理清洁要求。</w:t>
      </w:r>
    </w:p>
    <w:p>
      <w:pPr>
        <w:keepNext w:val="0"/>
        <w:keepLines w:val="0"/>
        <w:pageBreakBefore w:val="0"/>
        <w:widowControl w:val="0"/>
        <w:numPr>
          <w:ilvl w:val="0"/>
          <w:numId w:val="13"/>
        </w:numPr>
        <w:tabs>
          <w:tab w:val="left" w:pos="0"/>
          <w:tab w:val="left" w:pos="500"/>
          <w:tab w:val="left" w:pos="851"/>
        </w:tabs>
        <w:kinsoku/>
        <w:wordWrap/>
        <w:overflowPunct/>
        <w:topLinePunct w:val="0"/>
        <w:autoSpaceDE/>
        <w:autoSpaceDN/>
        <w:bidi w:val="0"/>
        <w:adjustRightInd/>
        <w:snapToGrid w:val="0"/>
        <w:spacing w:line="560" w:lineRule="exact"/>
        <w:ind w:left="0" w:right="0" w:rightChars="0" w:firstLine="420" w:firstLineChars="200"/>
        <w:jc w:val="left"/>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甲方将每日会同乙方领班按“保洁服务工作核查标准”抽检乙方工作并填制核查表格，作为奖罚依据。</w:t>
      </w:r>
    </w:p>
    <w:p>
      <w:pPr>
        <w:keepNext w:val="0"/>
        <w:keepLines w:val="0"/>
        <w:pageBreakBefore w:val="0"/>
        <w:widowControl w:val="0"/>
        <w:numPr>
          <w:ilvl w:val="0"/>
          <w:numId w:val="13"/>
        </w:numPr>
        <w:tabs>
          <w:tab w:val="left" w:pos="0"/>
          <w:tab w:val="left" w:pos="500"/>
          <w:tab w:val="left" w:pos="851"/>
        </w:tabs>
        <w:kinsoku/>
        <w:wordWrap/>
        <w:overflowPunct/>
        <w:topLinePunct w:val="0"/>
        <w:autoSpaceDE/>
        <w:autoSpaceDN/>
        <w:bidi w:val="0"/>
        <w:adjustRightInd/>
        <w:snapToGrid w:val="0"/>
        <w:spacing w:line="560" w:lineRule="exact"/>
        <w:ind w:left="0" w:right="0" w:rightChars="0" w:firstLine="420" w:firstLineChars="200"/>
        <w:jc w:val="left"/>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保洁服务时间安排以不影响住户生活为原则，乙方须根据甲方指定提供足够人手工作，节假期间更应安排足够人手保证清洁质量。所有人手实行岗位制，乙方须另行安排员工之假期替班。清洁服务时间及人手安排，甲方可视日后实际情况书面要求乙方灵活调整，乙方不得擅自裁岗。</w:t>
      </w:r>
    </w:p>
    <w:p>
      <w:pPr>
        <w:keepNext w:val="0"/>
        <w:keepLines w:val="0"/>
        <w:pageBreakBefore w:val="0"/>
        <w:widowControl w:val="0"/>
        <w:numPr>
          <w:ilvl w:val="0"/>
          <w:numId w:val="13"/>
        </w:numPr>
        <w:tabs>
          <w:tab w:val="left" w:pos="0"/>
          <w:tab w:val="left" w:pos="500"/>
          <w:tab w:val="left" w:pos="851"/>
        </w:tabs>
        <w:kinsoku/>
        <w:wordWrap/>
        <w:overflowPunct/>
        <w:topLinePunct w:val="0"/>
        <w:autoSpaceDE/>
        <w:autoSpaceDN/>
        <w:bidi w:val="0"/>
        <w:adjustRightInd/>
        <w:snapToGrid w:val="0"/>
        <w:spacing w:line="560" w:lineRule="exact"/>
        <w:ind w:left="0" w:right="0" w:rightChars="0" w:firstLine="420" w:firstLineChars="200"/>
        <w:jc w:val="left"/>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由于紧急情况，乙方在甲方要求下需在正常工作时间外提供足够人手处理紧急清洁工作，乙方不得为此再要求增加任何费用。</w:t>
      </w:r>
    </w:p>
    <w:p>
      <w:pPr>
        <w:keepNext w:val="0"/>
        <w:keepLines w:val="0"/>
        <w:pageBreakBefore w:val="0"/>
        <w:widowControl w:val="0"/>
        <w:numPr>
          <w:ilvl w:val="0"/>
          <w:numId w:val="13"/>
        </w:numPr>
        <w:tabs>
          <w:tab w:val="left" w:pos="0"/>
          <w:tab w:val="left" w:pos="500"/>
          <w:tab w:val="left" w:pos="851"/>
        </w:tabs>
        <w:kinsoku/>
        <w:wordWrap/>
        <w:overflowPunct/>
        <w:topLinePunct w:val="0"/>
        <w:autoSpaceDE/>
        <w:autoSpaceDN/>
        <w:bidi w:val="0"/>
        <w:adjustRightInd/>
        <w:snapToGrid w:val="0"/>
        <w:spacing w:line="560" w:lineRule="exact"/>
        <w:ind w:left="0" w:right="0" w:rightChars="0" w:firstLine="420" w:firstLineChars="200"/>
        <w:jc w:val="left"/>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在办公室、商业及会所使用清洁设备必须为静音型，且计划性清洁工作应安排在非营业、办公时段。</w:t>
      </w:r>
    </w:p>
    <w:p>
      <w:pPr>
        <w:keepNext w:val="0"/>
        <w:keepLines w:val="0"/>
        <w:pageBreakBefore w:val="0"/>
        <w:widowControl w:val="0"/>
        <w:numPr>
          <w:ilvl w:val="0"/>
          <w:numId w:val="13"/>
        </w:numPr>
        <w:tabs>
          <w:tab w:val="left" w:pos="0"/>
          <w:tab w:val="left" w:pos="500"/>
          <w:tab w:val="left" w:pos="851"/>
        </w:tabs>
        <w:kinsoku/>
        <w:wordWrap/>
        <w:overflowPunct/>
        <w:topLinePunct w:val="0"/>
        <w:autoSpaceDE/>
        <w:autoSpaceDN/>
        <w:bidi w:val="0"/>
        <w:adjustRightInd/>
        <w:snapToGrid w:val="0"/>
        <w:spacing w:line="560" w:lineRule="exact"/>
        <w:ind w:left="0" w:right="0" w:rightChars="0" w:firstLine="420" w:firstLineChars="200"/>
        <w:jc w:val="left"/>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服务内容中“除四害”须符合卫生部门规定；使用灭鼠、杀虫药物，须经国家指定检验机构检验合格，并持有卫生部门核发该药物检验合格证；乙方可将该项服务委托给专业消杀机构承担，但不得转移一切相关责任。</w:t>
      </w:r>
    </w:p>
    <w:p>
      <w:pPr>
        <w:keepNext w:val="0"/>
        <w:keepLines w:val="0"/>
        <w:pageBreakBefore w:val="0"/>
        <w:widowControl w:val="0"/>
        <w:numPr>
          <w:ilvl w:val="0"/>
          <w:numId w:val="13"/>
        </w:numPr>
        <w:tabs>
          <w:tab w:val="left" w:pos="0"/>
          <w:tab w:val="left" w:pos="500"/>
          <w:tab w:val="left" w:pos="851"/>
        </w:tabs>
        <w:kinsoku/>
        <w:wordWrap/>
        <w:overflowPunct/>
        <w:topLinePunct w:val="0"/>
        <w:autoSpaceDE/>
        <w:autoSpaceDN/>
        <w:bidi w:val="0"/>
        <w:adjustRightInd/>
        <w:snapToGrid w:val="0"/>
        <w:spacing w:line="560" w:lineRule="exact"/>
        <w:ind w:left="0" w:right="0" w:rightChars="0" w:firstLine="420" w:firstLineChars="200"/>
        <w:jc w:val="left"/>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上述工作细则之项目如未详列工作要求及地点者，乙方须依甲方指示做妥，甲方无须为此再支付任何费用。</w:t>
      </w:r>
    </w:p>
    <w:p>
      <w:pPr>
        <w:keepNext w:val="0"/>
        <w:keepLines w:val="0"/>
        <w:pageBreakBefore w:val="0"/>
        <w:widowControl w:val="0"/>
        <w:numPr>
          <w:ilvl w:val="0"/>
          <w:numId w:val="13"/>
        </w:numPr>
        <w:tabs>
          <w:tab w:val="left" w:pos="0"/>
          <w:tab w:val="left" w:pos="500"/>
          <w:tab w:val="left" w:pos="851"/>
        </w:tabs>
        <w:kinsoku/>
        <w:wordWrap/>
        <w:overflowPunct/>
        <w:topLinePunct w:val="0"/>
        <w:autoSpaceDE/>
        <w:autoSpaceDN/>
        <w:bidi w:val="0"/>
        <w:adjustRightInd/>
        <w:snapToGrid w:val="0"/>
        <w:spacing w:line="560" w:lineRule="exact"/>
        <w:ind w:left="0" w:right="0" w:rightChars="0" w:firstLine="420" w:firstLineChars="200"/>
        <w:jc w:val="left"/>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所有派驻员工必须提供有效健康证复印件，年龄应在45岁内为佳。</w:t>
      </w:r>
    </w:p>
    <w:p>
      <w:pPr>
        <w:keepNext w:val="0"/>
        <w:keepLines w:val="0"/>
        <w:pageBreakBefore w:val="0"/>
        <w:widowControl w:val="0"/>
        <w:numPr>
          <w:ilvl w:val="0"/>
          <w:numId w:val="13"/>
        </w:numPr>
        <w:tabs>
          <w:tab w:val="left" w:pos="500"/>
          <w:tab w:val="left" w:pos="851"/>
        </w:tabs>
        <w:kinsoku/>
        <w:wordWrap/>
        <w:overflowPunct/>
        <w:topLinePunct w:val="0"/>
        <w:autoSpaceDE/>
        <w:autoSpaceDN/>
        <w:bidi w:val="0"/>
        <w:adjustRightInd/>
        <w:snapToGrid w:val="0"/>
        <w:spacing w:line="560" w:lineRule="exact"/>
        <w:ind w:left="0" w:right="0" w:rightChars="0" w:firstLine="420" w:firstLineChars="200"/>
        <w:jc w:val="left"/>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乙方应配备</w:t>
      </w: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rPr>
        <w:t>名或以上具备</w:t>
      </w:r>
      <w:r>
        <w:rPr>
          <w:rFonts w:hint="eastAsia" w:ascii="仿宋_GB2312" w:hAnsi="仿宋_GB2312" w:eastAsia="仿宋_GB2312" w:cs="仿宋_GB2312"/>
          <w:color w:val="auto"/>
          <w:sz w:val="28"/>
          <w:szCs w:val="28"/>
          <w:highlight w:val="none"/>
          <w:lang w:eastAsia="zh-CN"/>
        </w:rPr>
        <w:t>高端物业</w:t>
      </w:r>
      <w:r>
        <w:rPr>
          <w:rFonts w:hint="eastAsia" w:ascii="仿宋_GB2312" w:hAnsi="仿宋_GB2312" w:eastAsia="仿宋_GB2312" w:cs="仿宋_GB2312"/>
          <w:color w:val="auto"/>
          <w:sz w:val="28"/>
          <w:szCs w:val="28"/>
          <w:highlight w:val="none"/>
        </w:rPr>
        <w:t>项目或五年（含五年）以上物业管理经验驻场管理人员。</w:t>
      </w:r>
    </w:p>
    <w:p>
      <w:pPr>
        <w:keepNext w:val="0"/>
        <w:keepLines w:val="0"/>
        <w:pageBreakBefore w:val="0"/>
        <w:widowControl w:val="0"/>
        <w:numPr>
          <w:ilvl w:val="0"/>
          <w:numId w:val="13"/>
        </w:numPr>
        <w:tabs>
          <w:tab w:val="left" w:pos="500"/>
          <w:tab w:val="left" w:pos="851"/>
        </w:tabs>
        <w:kinsoku/>
        <w:wordWrap/>
        <w:overflowPunct/>
        <w:topLinePunct w:val="0"/>
        <w:autoSpaceDE/>
        <w:autoSpaceDN/>
        <w:bidi w:val="0"/>
        <w:adjustRightInd/>
        <w:snapToGrid w:val="0"/>
        <w:spacing w:line="560" w:lineRule="exact"/>
        <w:ind w:left="0" w:right="0" w:rightChars="0" w:firstLine="420" w:firstLineChars="200"/>
        <w:jc w:val="left"/>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乙方如在清洁过程中对甲方及其关联公司财产、任何人员或其他第三方造成人身损害或财产损失，须承担相关全部损害赔偿责任，故乙方须自费购买足够第三者责任险。</w:t>
      </w:r>
    </w:p>
    <w:p>
      <w:pPr>
        <w:keepNext w:val="0"/>
        <w:keepLines w:val="0"/>
        <w:pageBreakBefore w:val="0"/>
        <w:widowControl w:val="0"/>
        <w:numPr>
          <w:ilvl w:val="0"/>
          <w:numId w:val="13"/>
        </w:numPr>
        <w:tabs>
          <w:tab w:val="left" w:pos="500"/>
          <w:tab w:val="left" w:pos="851"/>
        </w:tabs>
        <w:kinsoku/>
        <w:wordWrap/>
        <w:overflowPunct/>
        <w:topLinePunct w:val="0"/>
        <w:autoSpaceDE/>
        <w:autoSpaceDN/>
        <w:bidi w:val="0"/>
        <w:adjustRightInd/>
        <w:snapToGrid w:val="0"/>
        <w:spacing w:line="560" w:lineRule="exact"/>
        <w:ind w:left="0" w:right="0" w:rightChars="0" w:firstLine="420" w:firstLineChars="200"/>
        <w:jc w:val="left"/>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乙方须为派驻人员购买人身</w:t>
      </w:r>
      <w:r>
        <w:rPr>
          <w:rFonts w:hint="eastAsia" w:ascii="仿宋_GB2312" w:hAnsi="仿宋_GB2312" w:eastAsia="仿宋_GB2312" w:cs="仿宋_GB2312"/>
          <w:color w:val="auto"/>
          <w:sz w:val="28"/>
          <w:szCs w:val="28"/>
          <w:highlight w:val="none"/>
          <w:lang w:eastAsia="zh-CN"/>
        </w:rPr>
        <w:t>意外伤害</w:t>
      </w:r>
      <w:r>
        <w:rPr>
          <w:rFonts w:hint="eastAsia" w:ascii="仿宋_GB2312" w:hAnsi="仿宋_GB2312" w:eastAsia="仿宋_GB2312" w:cs="仿宋_GB2312"/>
          <w:color w:val="auto"/>
          <w:sz w:val="28"/>
          <w:szCs w:val="28"/>
          <w:highlight w:val="none"/>
        </w:rPr>
        <w:t>保险</w:t>
      </w:r>
      <w:r>
        <w:rPr>
          <w:rFonts w:hint="eastAsia" w:ascii="仿宋_GB2312" w:hAnsi="仿宋_GB2312" w:eastAsia="仿宋_GB2312" w:cs="仿宋_GB2312"/>
          <w:color w:val="auto"/>
          <w:sz w:val="28"/>
          <w:szCs w:val="28"/>
          <w:highlight w:val="none"/>
          <w:lang w:eastAsia="zh-CN"/>
        </w:rPr>
        <w:t>或雇主责任险，保额不低于</w:t>
      </w:r>
      <w:r>
        <w:rPr>
          <w:rFonts w:hint="eastAsia" w:ascii="仿宋_GB2312" w:hAnsi="仿宋_GB2312" w:eastAsia="仿宋_GB2312" w:cs="仿宋_GB2312"/>
          <w:color w:val="auto"/>
          <w:sz w:val="28"/>
          <w:szCs w:val="28"/>
          <w:highlight w:val="none"/>
          <w:lang w:val="en-US" w:eastAsia="zh-CN"/>
        </w:rPr>
        <w:t>50万元，</w:t>
      </w:r>
      <w:r>
        <w:rPr>
          <w:rFonts w:hint="eastAsia" w:ascii="仿宋_GB2312" w:hAnsi="仿宋_GB2312" w:eastAsia="仿宋_GB2312" w:cs="仿宋_GB2312"/>
          <w:color w:val="auto"/>
          <w:sz w:val="28"/>
          <w:szCs w:val="28"/>
          <w:highlight w:val="none"/>
        </w:rPr>
        <w:t>并于开工前提供保险证明副本与甲方，发生任何人身意外伤害，甲方不负责</w:t>
      </w:r>
      <w:r>
        <w:rPr>
          <w:rFonts w:hint="eastAsia" w:ascii="仿宋_GB2312" w:hAnsi="仿宋_GB2312" w:eastAsia="仿宋_GB2312" w:cs="仿宋_GB2312"/>
          <w:color w:val="auto"/>
          <w:sz w:val="28"/>
          <w:szCs w:val="28"/>
          <w:highlight w:val="none"/>
          <w:lang w:eastAsia="zh-CN"/>
        </w:rPr>
        <w:t>赔偿</w:t>
      </w:r>
      <w:r>
        <w:rPr>
          <w:rFonts w:hint="eastAsia" w:ascii="仿宋_GB2312" w:hAnsi="仿宋_GB2312" w:eastAsia="仿宋_GB2312" w:cs="仿宋_GB2312"/>
          <w:color w:val="auto"/>
          <w:sz w:val="28"/>
          <w:szCs w:val="28"/>
          <w:highlight w:val="none"/>
        </w:rPr>
        <w:t>。</w:t>
      </w:r>
    </w:p>
    <w:p>
      <w:pPr>
        <w:numPr>
          <w:ilvl w:val="0"/>
          <w:numId w:val="0"/>
        </w:numPr>
        <w:ind w:left="420" w:leftChars="0"/>
        <w:jc w:val="center"/>
        <w:rPr>
          <w:rFonts w:hint="eastAsia" w:ascii="仿宋_GB2312" w:hAnsi="仿宋_GB2312" w:eastAsia="仿宋_GB2312" w:cs="仿宋_GB2312"/>
          <w:b/>
          <w:color w:val="auto"/>
          <w:sz w:val="24"/>
          <w:highlight w:val="none"/>
        </w:rPr>
      </w:pPr>
      <w:r>
        <w:rPr>
          <w:rFonts w:hint="eastAsia" w:ascii="仿宋_GB2312" w:hAnsi="仿宋_GB2312" w:eastAsia="仿宋_GB2312" w:cs="仿宋_GB2312"/>
          <w:b/>
          <w:color w:val="auto"/>
          <w:sz w:val="24"/>
          <w:highlight w:val="none"/>
        </w:rPr>
        <w:t xml:space="preserve"> </w:t>
      </w:r>
    </w:p>
    <w:p>
      <w:pPr>
        <w:numPr>
          <w:ilvl w:val="0"/>
          <w:numId w:val="0"/>
        </w:numPr>
        <w:ind w:left="420" w:leftChars="0"/>
        <w:jc w:val="center"/>
        <w:rPr>
          <w:rFonts w:hint="eastAsia" w:ascii="仿宋_GB2312" w:hAnsi="仿宋_GB2312" w:eastAsia="仿宋_GB2312" w:cs="仿宋_GB2312"/>
          <w:b/>
          <w:color w:val="auto"/>
          <w:sz w:val="24"/>
          <w:highlight w:val="none"/>
        </w:rPr>
      </w:pPr>
    </w:p>
    <w:p>
      <w:pPr>
        <w:numPr>
          <w:ilvl w:val="0"/>
          <w:numId w:val="0"/>
        </w:numPr>
        <w:ind w:left="420" w:leftChars="0"/>
        <w:jc w:val="center"/>
        <w:rPr>
          <w:rFonts w:hint="eastAsia" w:ascii="仿宋_GB2312" w:hAnsi="仿宋_GB2312" w:eastAsia="仿宋_GB2312" w:cs="仿宋_GB2312"/>
          <w:b/>
          <w:color w:val="auto"/>
          <w:sz w:val="24"/>
          <w:highlight w:val="none"/>
        </w:rPr>
      </w:pPr>
    </w:p>
    <w:p>
      <w:pPr>
        <w:numPr>
          <w:ilvl w:val="0"/>
          <w:numId w:val="0"/>
        </w:numPr>
        <w:ind w:left="420" w:leftChars="0"/>
        <w:jc w:val="center"/>
        <w:rPr>
          <w:rFonts w:hint="eastAsia" w:ascii="仿宋_GB2312" w:hAnsi="仿宋_GB2312" w:eastAsia="仿宋_GB2312" w:cs="仿宋_GB2312"/>
          <w:b/>
          <w:color w:val="auto"/>
          <w:sz w:val="24"/>
          <w:highlight w:val="none"/>
        </w:rPr>
      </w:pPr>
    </w:p>
    <w:p>
      <w:pPr>
        <w:numPr>
          <w:ilvl w:val="0"/>
          <w:numId w:val="0"/>
        </w:numPr>
        <w:ind w:left="420" w:leftChars="0"/>
        <w:jc w:val="center"/>
        <w:rPr>
          <w:rFonts w:hint="eastAsia" w:ascii="仿宋_GB2312" w:hAnsi="仿宋_GB2312" w:eastAsia="仿宋_GB2312" w:cs="仿宋_GB2312"/>
          <w:b/>
          <w:color w:val="auto"/>
          <w:sz w:val="24"/>
          <w:highlight w:val="none"/>
        </w:rPr>
      </w:pPr>
    </w:p>
    <w:p>
      <w:pPr>
        <w:numPr>
          <w:ilvl w:val="0"/>
          <w:numId w:val="0"/>
        </w:numPr>
        <w:ind w:left="420" w:leftChars="0"/>
        <w:jc w:val="center"/>
        <w:rPr>
          <w:rFonts w:hint="eastAsia" w:ascii="仿宋_GB2312" w:hAnsi="仿宋_GB2312" w:eastAsia="仿宋_GB2312" w:cs="仿宋_GB2312"/>
          <w:b/>
          <w:color w:val="auto"/>
          <w:sz w:val="24"/>
          <w:highlight w:val="none"/>
          <w:lang w:eastAsia="zh-CN"/>
        </w:rPr>
      </w:pPr>
      <w:r>
        <w:rPr>
          <w:rFonts w:hint="eastAsia" w:ascii="仿宋_GB2312" w:hAnsi="仿宋_GB2312" w:eastAsia="仿宋_GB2312" w:cs="仿宋_GB2312"/>
          <w:b/>
          <w:color w:val="auto"/>
          <w:sz w:val="24"/>
          <w:highlight w:val="none"/>
          <w:lang w:eastAsia="zh-CN"/>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仿宋_GB2312" w:hAnsi="仿宋_GB2312" w:eastAsia="仿宋_GB2312" w:cs="仿宋_GB2312"/>
          <w:b/>
          <w:bCs/>
          <w:color w:val="auto"/>
          <w:sz w:val="36"/>
          <w:szCs w:val="36"/>
          <w:highlight w:val="none"/>
          <w:lang w:val="en-US" w:eastAsia="zh-CN"/>
        </w:rPr>
      </w:pPr>
      <w:bookmarkStart w:id="2" w:name="_Toc32763"/>
      <w:r>
        <w:rPr>
          <w:rFonts w:hint="eastAsia" w:ascii="仿宋_GB2312" w:hAnsi="仿宋_GB2312" w:eastAsia="仿宋_GB2312" w:cs="仿宋_GB2312"/>
          <w:b/>
          <w:bCs/>
          <w:color w:val="auto"/>
          <w:sz w:val="36"/>
          <w:szCs w:val="36"/>
          <w:highlight w:val="none"/>
          <w:lang w:val="en-US" w:eastAsia="zh-CN"/>
        </w:rPr>
        <w:t>第三章 保洁定量考核办法</w:t>
      </w:r>
      <w:bookmarkEnd w:id="2"/>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right="0" w:rightChars="0"/>
        <w:jc w:val="both"/>
        <w:textAlignment w:val="auto"/>
        <w:outlineLvl w:val="0"/>
        <w:rPr>
          <w:rFonts w:hint="eastAsia" w:ascii="仿宋_GB2312" w:hAnsi="仿宋_GB2312" w:eastAsia="仿宋_GB2312" w:cs="仿宋_GB2312"/>
          <w:color w:val="auto"/>
          <w:sz w:val="30"/>
          <w:szCs w:val="30"/>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right="0" w:rightChars="0" w:firstLine="438" w:firstLineChars="209"/>
        <w:jc w:val="both"/>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为确保</w:t>
      </w:r>
      <w:r>
        <w:rPr>
          <w:rFonts w:hint="eastAsia" w:ascii="仿宋_GB2312" w:hAnsi="仿宋_GB2312" w:eastAsia="仿宋_GB2312" w:cs="仿宋_GB2312"/>
          <w:color w:val="auto"/>
          <w:sz w:val="28"/>
          <w:szCs w:val="28"/>
          <w:highlight w:val="none"/>
          <w:lang w:eastAsia="zh-CN"/>
        </w:rPr>
        <w:t>项目</w:t>
      </w:r>
      <w:r>
        <w:rPr>
          <w:rFonts w:hint="eastAsia" w:ascii="仿宋_GB2312" w:hAnsi="仿宋_GB2312" w:eastAsia="仿宋_GB2312" w:cs="仿宋_GB2312"/>
          <w:color w:val="auto"/>
          <w:sz w:val="28"/>
          <w:szCs w:val="28"/>
          <w:highlight w:val="none"/>
        </w:rPr>
        <w:t>保洁质量，保证对保洁分包的过程监控准确、有效，特制定保洁考核办法。</w:t>
      </w:r>
    </w:p>
    <w:p>
      <w:pPr>
        <w:keepNext w:val="0"/>
        <w:keepLines w:val="0"/>
        <w:pageBreakBefore w:val="0"/>
        <w:widowControl w:val="0"/>
        <w:kinsoku/>
        <w:wordWrap/>
        <w:overflowPunct/>
        <w:topLinePunct w:val="0"/>
        <w:autoSpaceDE/>
        <w:autoSpaceDN/>
        <w:bidi w:val="0"/>
        <w:adjustRightInd/>
        <w:snapToGrid/>
        <w:spacing w:line="360" w:lineRule="auto"/>
        <w:ind w:left="105" w:leftChars="50" w:right="0" w:rightChars="0" w:firstLine="333" w:firstLineChars="159"/>
        <w:jc w:val="both"/>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为使保洁现场管理具有较强的针对性和时效性，将每月保洁合同费用的10%作为考核浮动费用，并将该项费用分摊至保洁工作各项目中作为考核值。在保洁质量的现场督察、纠正过程中，发现的保洁质量问题将直接按各项核定的考核值在月度浮动费用中予以扣除。次月初对上月的检查扣款情况予以统计，即为上月保洁费用扣款结算的依据。</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38" w:firstLineChars="209"/>
        <w:jc w:val="both"/>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一、扣款分值表</w:t>
      </w:r>
    </w:p>
    <w:p>
      <w:pPr>
        <w:keepNext w:val="0"/>
        <w:keepLines w:val="0"/>
        <w:pageBreakBefore w:val="0"/>
        <w:widowControl w:val="0"/>
        <w:numPr>
          <w:ilvl w:val="0"/>
          <w:numId w:val="14"/>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工作量化：将</w:t>
      </w:r>
      <w:r>
        <w:rPr>
          <w:rFonts w:hint="eastAsia" w:ascii="仿宋_GB2312" w:hAnsi="仿宋_GB2312" w:eastAsia="仿宋_GB2312" w:cs="仿宋_GB2312"/>
          <w:color w:val="auto"/>
          <w:sz w:val="28"/>
          <w:szCs w:val="28"/>
          <w:highlight w:val="none"/>
          <w:lang w:eastAsia="zh-CN"/>
        </w:rPr>
        <w:t>本项目</w:t>
      </w:r>
      <w:r>
        <w:rPr>
          <w:rFonts w:hint="eastAsia" w:ascii="仿宋_GB2312" w:hAnsi="仿宋_GB2312" w:eastAsia="仿宋_GB2312" w:cs="仿宋_GB2312"/>
          <w:color w:val="auto"/>
          <w:sz w:val="28"/>
          <w:szCs w:val="28"/>
          <w:highlight w:val="none"/>
        </w:rPr>
        <w:t>合同内服务区域、服务内容全部列明后，制作成保洁工作量清单（格式与质量标准相一致）；</w:t>
      </w:r>
    </w:p>
    <w:p>
      <w:pPr>
        <w:keepNext w:val="0"/>
        <w:keepLines w:val="0"/>
        <w:pageBreakBefore w:val="0"/>
        <w:widowControl w:val="0"/>
        <w:numPr>
          <w:ilvl w:val="0"/>
          <w:numId w:val="14"/>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设定权重：根据每项保洁工作量的影响程度，确定每项工作的权重；</w:t>
      </w:r>
    </w:p>
    <w:p>
      <w:pPr>
        <w:keepNext w:val="0"/>
        <w:keepLines w:val="0"/>
        <w:pageBreakBefore w:val="0"/>
        <w:widowControl w:val="0"/>
        <w:numPr>
          <w:ilvl w:val="0"/>
          <w:numId w:val="14"/>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费用细分：将保洁合同年费用拆分为每天的费用，再按保洁作业分区、分项和权重分摊至每一工作细项，制作出《保洁工作</w:t>
      </w:r>
      <w:r>
        <w:rPr>
          <w:rFonts w:hint="eastAsia" w:ascii="仿宋_GB2312" w:hAnsi="仿宋_GB2312" w:eastAsia="仿宋_GB2312" w:cs="仿宋_GB2312"/>
          <w:color w:val="auto"/>
          <w:sz w:val="28"/>
          <w:szCs w:val="28"/>
          <w:highlight w:val="none"/>
          <w:lang w:eastAsia="zh-CN"/>
        </w:rPr>
        <w:t>每日</w:t>
      </w:r>
      <w:r>
        <w:rPr>
          <w:rFonts w:hint="eastAsia" w:ascii="仿宋_GB2312" w:hAnsi="仿宋_GB2312" w:eastAsia="仿宋_GB2312" w:cs="仿宋_GB2312"/>
          <w:color w:val="auto"/>
          <w:sz w:val="28"/>
          <w:szCs w:val="28"/>
          <w:highlight w:val="none"/>
        </w:rPr>
        <w:t>定量考核表（Vi）》。</w:t>
      </w:r>
    </w:p>
    <w:p>
      <w:pPr>
        <w:keepNext w:val="0"/>
        <w:keepLines w:val="0"/>
        <w:pageBreakBefore w:val="0"/>
        <w:widowControl w:val="0"/>
        <w:numPr>
          <w:ilvl w:val="0"/>
          <w:numId w:val="14"/>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划分方式：将一个保洁标段根据作业界面的不同，分成A个工作区域，在工作区域的基础上根据作业内容的不同，分成B个作业大项：如（卫生间、办公室、电梯）等，在每一个作业大项里根据具体的作业对象分成C个考核点，如卫生间可分（灯具、墙面、地面、隔断、洗手台、镜面玻璃等）。</w:t>
      </w:r>
    </w:p>
    <w:p>
      <w:pPr>
        <w:keepNext w:val="0"/>
        <w:keepLines w:val="0"/>
        <w:pageBreakBefore w:val="0"/>
        <w:widowControl w:val="0"/>
        <w:numPr>
          <w:ilvl w:val="0"/>
          <w:numId w:val="14"/>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计算公式：</w:t>
      </w:r>
    </w:p>
    <w:p>
      <w:pPr>
        <w:keepNext w:val="0"/>
        <w:keepLines w:val="0"/>
        <w:pageBreakBefore w:val="0"/>
        <w:widowControl w:val="0"/>
        <w:numPr>
          <w:ilvl w:val="1"/>
          <w:numId w:val="14"/>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年保洁费用的10%÷12月÷30天=每天考核浮动费用</w:t>
      </w:r>
    </w:p>
    <w:p>
      <w:pPr>
        <w:keepNext w:val="0"/>
        <w:keepLines w:val="0"/>
        <w:pageBreakBefore w:val="0"/>
        <w:widowControl w:val="0"/>
        <w:numPr>
          <w:ilvl w:val="1"/>
          <w:numId w:val="14"/>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每天考核浮动费用×A工作区域权重比=A工作区域每天对应的考核费用</w:t>
      </w:r>
    </w:p>
    <w:p>
      <w:pPr>
        <w:keepNext w:val="0"/>
        <w:keepLines w:val="0"/>
        <w:pageBreakBefore w:val="0"/>
        <w:widowControl w:val="0"/>
        <w:numPr>
          <w:ilvl w:val="1"/>
          <w:numId w:val="14"/>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A工作区域每天的对应考核费用×C考核点所对应的百分比=每项工作考核金额</w:t>
      </w:r>
    </w:p>
    <w:p>
      <w:pPr>
        <w:keepNext w:val="0"/>
        <w:keepLines w:val="0"/>
        <w:pageBreakBefore w:val="0"/>
        <w:widowControl w:val="0"/>
        <w:kinsoku/>
        <w:wordWrap/>
        <w:overflowPunct/>
        <w:topLinePunct w:val="0"/>
        <w:autoSpaceDE/>
        <w:autoSpaceDN/>
        <w:bidi w:val="0"/>
        <w:adjustRightInd/>
        <w:snapToGrid/>
        <w:spacing w:line="360" w:lineRule="auto"/>
        <w:ind w:left="502" w:right="0" w:rightChars="0"/>
        <w:jc w:val="both"/>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二、保洁质量督察</w:t>
      </w:r>
    </w:p>
    <w:p>
      <w:pPr>
        <w:keepNext w:val="0"/>
        <w:keepLines w:val="0"/>
        <w:pageBreakBefore w:val="0"/>
        <w:widowControl w:val="0"/>
        <w:numPr>
          <w:ilvl w:val="0"/>
          <w:numId w:val="15"/>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甲方管理人员根据《保洁</w:t>
      </w:r>
      <w:r>
        <w:rPr>
          <w:rFonts w:hint="eastAsia" w:ascii="仿宋_GB2312" w:hAnsi="仿宋_GB2312" w:eastAsia="仿宋_GB2312" w:cs="仿宋_GB2312"/>
          <w:color w:val="auto"/>
          <w:sz w:val="28"/>
          <w:szCs w:val="28"/>
          <w:highlight w:val="none"/>
          <w:lang w:eastAsia="zh-CN"/>
        </w:rPr>
        <w:t>服务工作要求细则</w:t>
      </w:r>
      <w:r>
        <w:rPr>
          <w:rFonts w:hint="eastAsia" w:ascii="仿宋_GB2312" w:hAnsi="仿宋_GB2312" w:eastAsia="仿宋_GB2312" w:cs="仿宋_GB2312"/>
          <w:color w:val="auto"/>
          <w:sz w:val="28"/>
          <w:szCs w:val="28"/>
          <w:highlight w:val="none"/>
        </w:rPr>
        <w:t>》，对保洁工作进行现场核查。发现问题，依据《保洁工作</w:t>
      </w:r>
      <w:r>
        <w:rPr>
          <w:rFonts w:hint="eastAsia" w:ascii="仿宋_GB2312" w:hAnsi="仿宋_GB2312" w:eastAsia="仿宋_GB2312" w:cs="仿宋_GB2312"/>
          <w:color w:val="auto"/>
          <w:sz w:val="28"/>
          <w:szCs w:val="28"/>
          <w:highlight w:val="none"/>
          <w:lang w:eastAsia="zh-CN"/>
        </w:rPr>
        <w:t>每日</w:t>
      </w:r>
      <w:r>
        <w:rPr>
          <w:rFonts w:hint="eastAsia" w:ascii="仿宋_GB2312" w:hAnsi="仿宋_GB2312" w:eastAsia="仿宋_GB2312" w:cs="仿宋_GB2312"/>
          <w:color w:val="auto"/>
          <w:sz w:val="28"/>
          <w:szCs w:val="28"/>
          <w:highlight w:val="none"/>
        </w:rPr>
        <w:t>定量考核表（Vi）》直接核算为当日应扣乙方保洁服务费用；</w:t>
      </w:r>
    </w:p>
    <w:p>
      <w:pPr>
        <w:keepNext w:val="0"/>
        <w:keepLines w:val="0"/>
        <w:pageBreakBefore w:val="0"/>
        <w:widowControl w:val="0"/>
        <w:numPr>
          <w:ilvl w:val="0"/>
          <w:numId w:val="15"/>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如同一工作项在一周内累计出现3次扣款，则第4次开始加倍扣款，如本项费用扣完，则从其他项扣除。</w:t>
      </w:r>
    </w:p>
    <w:p>
      <w:pPr>
        <w:keepNext w:val="0"/>
        <w:keepLines w:val="0"/>
        <w:pageBreakBefore w:val="0"/>
        <w:widowControl w:val="0"/>
        <w:numPr>
          <w:ilvl w:val="0"/>
          <w:numId w:val="16"/>
        </w:numPr>
        <w:kinsoku/>
        <w:wordWrap/>
        <w:overflowPunct/>
        <w:topLinePunct w:val="0"/>
        <w:autoSpaceDE/>
        <w:autoSpaceDN/>
        <w:bidi w:val="0"/>
        <w:adjustRightInd/>
        <w:snapToGrid/>
        <w:spacing w:line="360" w:lineRule="auto"/>
        <w:ind w:left="502" w:right="0" w:rightChars="0"/>
        <w:jc w:val="both"/>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《保洁工作</w:t>
      </w:r>
      <w:r>
        <w:rPr>
          <w:rFonts w:hint="eastAsia" w:ascii="仿宋_GB2312" w:hAnsi="仿宋_GB2312" w:eastAsia="仿宋_GB2312" w:cs="仿宋_GB2312"/>
          <w:color w:val="auto"/>
          <w:sz w:val="28"/>
          <w:szCs w:val="28"/>
          <w:highlight w:val="none"/>
          <w:lang w:eastAsia="zh-CN"/>
        </w:rPr>
        <w:t>每日</w:t>
      </w:r>
      <w:r>
        <w:rPr>
          <w:rFonts w:hint="eastAsia" w:ascii="仿宋_GB2312" w:hAnsi="仿宋_GB2312" w:eastAsia="仿宋_GB2312" w:cs="仿宋_GB2312"/>
          <w:color w:val="auto"/>
          <w:sz w:val="28"/>
          <w:szCs w:val="28"/>
          <w:highlight w:val="none"/>
        </w:rPr>
        <w:t>定量考核表（Vi）》</w:t>
      </w:r>
    </w:p>
    <w:p>
      <w:pPr>
        <w:numPr>
          <w:ilvl w:val="0"/>
          <w:numId w:val="0"/>
        </w:numPr>
        <w:spacing w:line="480" w:lineRule="exact"/>
        <w:jc w:val="center"/>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br w:type="page"/>
      </w:r>
    </w:p>
    <w:p>
      <w:pPr>
        <w:numPr>
          <w:ilvl w:val="0"/>
          <w:numId w:val="0"/>
        </w:numPr>
        <w:spacing w:line="480" w:lineRule="exact"/>
        <w:jc w:val="center"/>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园区保洁工作每日定量考核表</w:t>
      </w:r>
    </w:p>
    <w:tbl>
      <w:tblPr>
        <w:tblStyle w:val="10"/>
        <w:tblpPr w:leftFromText="180" w:rightFromText="180" w:vertAnchor="text" w:horzAnchor="page" w:tblpX="1129" w:tblpY="277"/>
        <w:tblOverlap w:val="never"/>
        <w:tblW w:w="1002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660"/>
        <w:gridCol w:w="853"/>
        <w:gridCol w:w="990"/>
        <w:gridCol w:w="1428"/>
        <w:gridCol w:w="957"/>
        <w:gridCol w:w="3789"/>
        <w:gridCol w:w="13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660" w:type="dxa"/>
            <w:tcBorders>
              <w:top w:val="single" w:color="000000" w:sz="4" w:space="0"/>
              <w:left w:val="single" w:color="000000" w:sz="4" w:space="0"/>
              <w:bottom w:val="single" w:color="000000" w:sz="4" w:space="0"/>
              <w:right w:val="single" w:color="000000" w:sz="4" w:space="0"/>
            </w:tcBorders>
            <w:shd w:val="clear" w:color="auto" w:fill="FABF8F"/>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序号</w:t>
            </w:r>
          </w:p>
        </w:tc>
        <w:tc>
          <w:tcPr>
            <w:tcW w:w="853" w:type="dxa"/>
            <w:tcBorders>
              <w:top w:val="single" w:color="000000" w:sz="4" w:space="0"/>
              <w:left w:val="single" w:color="000000" w:sz="4" w:space="0"/>
              <w:bottom w:val="single" w:color="000000" w:sz="4" w:space="0"/>
              <w:right w:val="single" w:color="000000" w:sz="4" w:space="0"/>
            </w:tcBorders>
            <w:shd w:val="clear" w:color="auto" w:fill="FABF8F"/>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工作区域</w:t>
            </w:r>
          </w:p>
        </w:tc>
        <w:tc>
          <w:tcPr>
            <w:tcW w:w="990" w:type="dxa"/>
            <w:tcBorders>
              <w:top w:val="single" w:color="000000" w:sz="4" w:space="0"/>
              <w:left w:val="single" w:color="000000" w:sz="4" w:space="0"/>
              <w:bottom w:val="single" w:color="000000" w:sz="4" w:space="0"/>
              <w:right w:val="single" w:color="000000" w:sz="4" w:space="0"/>
            </w:tcBorders>
            <w:shd w:val="clear" w:color="auto" w:fill="FABF8F"/>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占总百分比例（%）</w:t>
            </w:r>
          </w:p>
        </w:tc>
        <w:tc>
          <w:tcPr>
            <w:tcW w:w="1428" w:type="dxa"/>
            <w:tcBorders>
              <w:top w:val="single" w:color="000000" w:sz="4" w:space="0"/>
              <w:left w:val="single" w:color="000000" w:sz="4" w:space="0"/>
              <w:bottom w:val="single" w:color="000000" w:sz="4" w:space="0"/>
              <w:right w:val="single" w:color="000000" w:sz="4" w:space="0"/>
            </w:tcBorders>
            <w:shd w:val="clear" w:color="auto" w:fill="FABF8F"/>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sz w:val="18"/>
                <w:szCs w:val="18"/>
                <w:highlight w:val="none"/>
                <w:u w:val="none"/>
                <w:lang w:eastAsia="zh-CN"/>
              </w:rPr>
              <w:t>作业大项</w:t>
            </w:r>
          </w:p>
        </w:tc>
        <w:tc>
          <w:tcPr>
            <w:tcW w:w="957" w:type="dxa"/>
            <w:tcBorders>
              <w:top w:val="single" w:color="000000" w:sz="4" w:space="0"/>
              <w:left w:val="single" w:color="000000" w:sz="4" w:space="0"/>
              <w:bottom w:val="single" w:color="000000" w:sz="4" w:space="0"/>
              <w:right w:val="single" w:color="000000" w:sz="4" w:space="0"/>
            </w:tcBorders>
            <w:shd w:val="clear" w:color="auto" w:fill="FABF8F"/>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检查方向</w:t>
            </w:r>
          </w:p>
        </w:tc>
        <w:tc>
          <w:tcPr>
            <w:tcW w:w="3789" w:type="dxa"/>
            <w:tcBorders>
              <w:top w:val="single" w:color="000000" w:sz="4" w:space="0"/>
              <w:left w:val="single" w:color="000000" w:sz="4" w:space="0"/>
              <w:bottom w:val="single" w:color="000000" w:sz="4" w:space="0"/>
              <w:right w:val="single" w:color="000000" w:sz="4" w:space="0"/>
            </w:tcBorders>
            <w:shd w:val="clear" w:color="auto" w:fill="FABF8F"/>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sz w:val="18"/>
                <w:szCs w:val="18"/>
                <w:highlight w:val="none"/>
                <w:u w:val="none"/>
                <w:lang w:eastAsia="zh-CN"/>
              </w:rPr>
              <w:t>考核点</w:t>
            </w:r>
          </w:p>
        </w:tc>
        <w:tc>
          <w:tcPr>
            <w:tcW w:w="1350" w:type="dxa"/>
            <w:tcBorders>
              <w:top w:val="single" w:color="000000" w:sz="4" w:space="0"/>
              <w:left w:val="single" w:color="000000" w:sz="4" w:space="0"/>
              <w:bottom w:val="single" w:color="000000" w:sz="4" w:space="0"/>
              <w:right w:val="single" w:color="000000" w:sz="4" w:space="0"/>
            </w:tcBorders>
            <w:shd w:val="clear" w:color="auto" w:fill="FABF8F"/>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占工作区域百分比例（%）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5"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1</w:t>
            </w:r>
          </w:p>
        </w:tc>
        <w:tc>
          <w:tcPr>
            <w:tcW w:w="853"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园区</w:t>
            </w:r>
          </w:p>
        </w:tc>
        <w:tc>
          <w:tcPr>
            <w:tcW w:w="990"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30%</w:t>
            </w: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路面</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w:t>
            </w:r>
          </w:p>
        </w:tc>
        <w:tc>
          <w:tcPr>
            <w:tcW w:w="37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目视干净，无烟头，无落叶，无痰迹，无积水，无口香糖胶渍，无堆积杂物，无大块石头等杂物。</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2</w:t>
            </w:r>
          </w:p>
        </w:tc>
        <w:tc>
          <w:tcPr>
            <w:tcW w:w="85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天台</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w:t>
            </w:r>
          </w:p>
        </w:tc>
        <w:tc>
          <w:tcPr>
            <w:tcW w:w="37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无堆积杂物，无石块，无落叶，无纸屑，无烟头，等杂物。</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3</w:t>
            </w:r>
          </w:p>
        </w:tc>
        <w:tc>
          <w:tcPr>
            <w:tcW w:w="85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草坪</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w:t>
            </w:r>
          </w:p>
        </w:tc>
        <w:tc>
          <w:tcPr>
            <w:tcW w:w="37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无纸屑、杂物及维护垃圾。</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4</w:t>
            </w:r>
          </w:p>
        </w:tc>
        <w:tc>
          <w:tcPr>
            <w:tcW w:w="85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围墙通道</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w:t>
            </w:r>
          </w:p>
        </w:tc>
        <w:tc>
          <w:tcPr>
            <w:tcW w:w="37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无纸屑、杂物。</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5</w:t>
            </w:r>
          </w:p>
        </w:tc>
        <w:tc>
          <w:tcPr>
            <w:tcW w:w="85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绿化带</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w:t>
            </w:r>
          </w:p>
        </w:tc>
        <w:tc>
          <w:tcPr>
            <w:tcW w:w="37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 xml:space="preserve">花丛内无瓜果皮壳、枯叶、饮料盒、纸屑、碎石，动物粪便等杂物。 </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40"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6</w:t>
            </w:r>
          </w:p>
        </w:tc>
        <w:tc>
          <w:tcPr>
            <w:tcW w:w="85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景观池</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w:t>
            </w:r>
          </w:p>
        </w:tc>
        <w:tc>
          <w:tcPr>
            <w:tcW w:w="37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 xml:space="preserve">目视水池清澈见底，池底无沉淀物、杂物，水面无漂浮物、枯树叶，边壁无锈斑、污迹、青苔，水无异味。 </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5"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7</w:t>
            </w:r>
          </w:p>
        </w:tc>
        <w:tc>
          <w:tcPr>
            <w:tcW w:w="85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草坪灯</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w:t>
            </w:r>
          </w:p>
        </w:tc>
        <w:tc>
          <w:tcPr>
            <w:tcW w:w="37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无张贴，无灰尘，无蜘蛛网，无锈迹。</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5"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8</w:t>
            </w:r>
          </w:p>
        </w:tc>
        <w:tc>
          <w:tcPr>
            <w:tcW w:w="85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休闲椅</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w:t>
            </w:r>
          </w:p>
        </w:tc>
        <w:tc>
          <w:tcPr>
            <w:tcW w:w="37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无张贴，无灰尘，无蜘蛛网，无锈迹。</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9</w:t>
            </w:r>
          </w:p>
        </w:tc>
        <w:tc>
          <w:tcPr>
            <w:tcW w:w="85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外墙玻璃、雨搭</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w:t>
            </w:r>
          </w:p>
        </w:tc>
        <w:tc>
          <w:tcPr>
            <w:tcW w:w="37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干净明亮，无污渍，无胶点，无漆点，无手印，水渍。雨搭干净明亮、无落叶、无垃圾。</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10</w:t>
            </w:r>
          </w:p>
        </w:tc>
        <w:tc>
          <w:tcPr>
            <w:tcW w:w="85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污雨水井、排水沟</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w:t>
            </w:r>
          </w:p>
        </w:tc>
        <w:tc>
          <w:tcPr>
            <w:tcW w:w="37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 xml:space="preserve">无杂物，无杂草，无纸屑烟头，排水畅通无堵塞、积水、异味。 </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11</w:t>
            </w:r>
          </w:p>
        </w:tc>
        <w:tc>
          <w:tcPr>
            <w:tcW w:w="85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指示牌、广告牌类</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w:t>
            </w:r>
          </w:p>
        </w:tc>
        <w:tc>
          <w:tcPr>
            <w:tcW w:w="37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表面干净光亮，无灰尘，无张贴，无蜘蛛网。</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12</w:t>
            </w:r>
          </w:p>
        </w:tc>
        <w:tc>
          <w:tcPr>
            <w:tcW w:w="85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值班岗亭</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清洁维护</w:t>
            </w:r>
          </w:p>
        </w:tc>
        <w:tc>
          <w:tcPr>
            <w:tcW w:w="37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室内地面干净无杂物，墙面四周无污迹，顶部无蜘蛛网，岗亭外立面干净无积灰。</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13</w:t>
            </w:r>
          </w:p>
        </w:tc>
        <w:tc>
          <w:tcPr>
            <w:tcW w:w="85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垃圾桶、桶盖拉手</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w:t>
            </w:r>
          </w:p>
        </w:tc>
        <w:tc>
          <w:tcPr>
            <w:tcW w:w="37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垃圾套袋，无异味，无满溢，无蚊蝇乱飞，周边无污水，无散落垃圾。清运垃圾时防止撒漏 地面，无泔水外溢现象；桶盖拉手洁净。</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14</w:t>
            </w:r>
          </w:p>
        </w:tc>
        <w:tc>
          <w:tcPr>
            <w:tcW w:w="85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果皮箱</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w:t>
            </w:r>
          </w:p>
        </w:tc>
        <w:tc>
          <w:tcPr>
            <w:tcW w:w="37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桶体外表洁净，垃圾无溢出现象。</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15</w:t>
            </w:r>
          </w:p>
        </w:tc>
        <w:tc>
          <w:tcPr>
            <w:tcW w:w="85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电表箱</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w:t>
            </w:r>
          </w:p>
        </w:tc>
        <w:tc>
          <w:tcPr>
            <w:tcW w:w="37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表面洁净，无灰尘。</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16</w:t>
            </w:r>
          </w:p>
        </w:tc>
        <w:tc>
          <w:tcPr>
            <w:tcW w:w="85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栏杆</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w:t>
            </w:r>
          </w:p>
        </w:tc>
        <w:tc>
          <w:tcPr>
            <w:tcW w:w="37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表面洁净，无灰尘。</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17</w:t>
            </w:r>
          </w:p>
        </w:tc>
        <w:tc>
          <w:tcPr>
            <w:tcW w:w="85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路面停车场</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w:t>
            </w:r>
          </w:p>
        </w:tc>
        <w:tc>
          <w:tcPr>
            <w:tcW w:w="37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无纸屑，无烟头，无油渍，砖面完好。</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18</w:t>
            </w:r>
          </w:p>
        </w:tc>
        <w:tc>
          <w:tcPr>
            <w:tcW w:w="85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消防器材</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w:t>
            </w:r>
          </w:p>
        </w:tc>
        <w:tc>
          <w:tcPr>
            <w:tcW w:w="37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表面洁净，无灰尘。</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19</w:t>
            </w:r>
          </w:p>
        </w:tc>
        <w:tc>
          <w:tcPr>
            <w:tcW w:w="85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小广告</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及时清除</w:t>
            </w:r>
          </w:p>
        </w:tc>
        <w:tc>
          <w:tcPr>
            <w:tcW w:w="37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社区内无小广告张贴现象。</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5"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20</w:t>
            </w:r>
          </w:p>
        </w:tc>
        <w:tc>
          <w:tcPr>
            <w:tcW w:w="853"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单元楼内</w:t>
            </w:r>
          </w:p>
        </w:tc>
        <w:tc>
          <w:tcPr>
            <w:tcW w:w="990"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30%</w:t>
            </w: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地面</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w:t>
            </w:r>
          </w:p>
        </w:tc>
        <w:tc>
          <w:tcPr>
            <w:tcW w:w="37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地面干净、无纸屑、烟头、痰迹、无口香糖胶渍、水渍，泥土。</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21</w:t>
            </w:r>
          </w:p>
        </w:tc>
        <w:tc>
          <w:tcPr>
            <w:tcW w:w="85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墙面</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w:t>
            </w:r>
          </w:p>
        </w:tc>
        <w:tc>
          <w:tcPr>
            <w:tcW w:w="37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无手印，无污渍、无张贴，乱画，天花板无蜘蛛网 。</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15"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22</w:t>
            </w:r>
          </w:p>
        </w:tc>
        <w:tc>
          <w:tcPr>
            <w:tcW w:w="85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楼梯</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w:t>
            </w:r>
          </w:p>
        </w:tc>
        <w:tc>
          <w:tcPr>
            <w:tcW w:w="3789" w:type="dxa"/>
            <w:tcBorders>
              <w:top w:val="single" w:color="000000" w:sz="4" w:space="0"/>
              <w:left w:val="single" w:color="000000" w:sz="4" w:space="0"/>
              <w:bottom w:val="single" w:color="000000" w:sz="4" w:space="0"/>
            </w:tcBorders>
            <w:vAlign w:val="center"/>
          </w:tcPr>
          <w:p>
            <w:pPr>
              <w:keepNext w:val="0"/>
              <w:keepLines w:val="0"/>
              <w:widowControl/>
              <w:suppressLineNumbers w:val="0"/>
              <w:spacing w:after="180" w:afterAutospacing="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 xml:space="preserve">1、扶手无灰，无积尘，无装修漆点；                                            2、栏杆无积尘，无蜘蛛网；                                                       3、楼层阶梯无烟头纸屑，无泥土；                                                4、通道内墙面无蜘蛛网，楼道内无堆积杂物。 </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50"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23</w:t>
            </w:r>
          </w:p>
        </w:tc>
        <w:tc>
          <w:tcPr>
            <w:tcW w:w="85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电梯</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清洁消毒</w:t>
            </w:r>
          </w:p>
        </w:tc>
        <w:tc>
          <w:tcPr>
            <w:tcW w:w="37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1、电梯门表面无划痕，无灰尘，无张贴，无乱画，光亮无手印；2、电梯内部沟槽无杂物，电梯壁内 无张贴，无乱画；3、地面无纸屑，烟头，天花板光亮，内部灯亮，滑道通畅。</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24</w:t>
            </w:r>
          </w:p>
        </w:tc>
        <w:tc>
          <w:tcPr>
            <w:tcW w:w="85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单元门</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w:t>
            </w:r>
          </w:p>
        </w:tc>
        <w:tc>
          <w:tcPr>
            <w:tcW w:w="37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玻璃干净无灰尘，无水渍，胶渍，门锁完好。</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25</w:t>
            </w:r>
          </w:p>
        </w:tc>
        <w:tc>
          <w:tcPr>
            <w:tcW w:w="85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楼层内管道门</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w:t>
            </w:r>
          </w:p>
        </w:tc>
        <w:tc>
          <w:tcPr>
            <w:tcW w:w="37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干净无积尘，无污渍，无张贴，无乱画。</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26</w:t>
            </w:r>
          </w:p>
        </w:tc>
        <w:tc>
          <w:tcPr>
            <w:tcW w:w="85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信报箱</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w:t>
            </w:r>
          </w:p>
        </w:tc>
        <w:tc>
          <w:tcPr>
            <w:tcW w:w="37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干净，无积尘，上方无杂物，无张贴，无乱画现象。</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27</w:t>
            </w:r>
          </w:p>
        </w:tc>
        <w:tc>
          <w:tcPr>
            <w:tcW w:w="85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灯具</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w:t>
            </w:r>
          </w:p>
        </w:tc>
        <w:tc>
          <w:tcPr>
            <w:tcW w:w="37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 xml:space="preserve">照明灯亮，无积尘，无污渍，定期清理灯罩内飞虫。 </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28</w:t>
            </w:r>
          </w:p>
        </w:tc>
        <w:tc>
          <w:tcPr>
            <w:tcW w:w="85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玻璃</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w:t>
            </w:r>
          </w:p>
        </w:tc>
        <w:tc>
          <w:tcPr>
            <w:tcW w:w="37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清洁明亮，无手印，无张贴，无乱画现象，无污渍，胶渍，水渍，无记号笔印记。</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0"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29</w:t>
            </w:r>
          </w:p>
        </w:tc>
        <w:tc>
          <w:tcPr>
            <w:tcW w:w="85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窗台</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w:t>
            </w:r>
          </w:p>
        </w:tc>
        <w:tc>
          <w:tcPr>
            <w:tcW w:w="37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 xml:space="preserve">窗台无灰尘，无脚印，烟头，纸屑；窗框槽内干净，无杂物，无积尘。 </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30</w:t>
            </w:r>
          </w:p>
        </w:tc>
        <w:tc>
          <w:tcPr>
            <w:tcW w:w="85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暖气片</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w:t>
            </w:r>
          </w:p>
        </w:tc>
        <w:tc>
          <w:tcPr>
            <w:tcW w:w="37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 xml:space="preserve">干净无积尘，无水渍。 </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31</w:t>
            </w:r>
          </w:p>
        </w:tc>
        <w:tc>
          <w:tcPr>
            <w:tcW w:w="85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监控探头</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w:t>
            </w:r>
          </w:p>
        </w:tc>
        <w:tc>
          <w:tcPr>
            <w:tcW w:w="37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探头镜头干净无积灰、浮尘。</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32</w:t>
            </w:r>
          </w:p>
        </w:tc>
        <w:tc>
          <w:tcPr>
            <w:tcW w:w="85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楼梯间</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清洁、无杂物</w:t>
            </w:r>
          </w:p>
        </w:tc>
        <w:tc>
          <w:tcPr>
            <w:tcW w:w="3789" w:type="dxa"/>
            <w:tcBorders>
              <w:top w:val="single" w:color="000000" w:sz="4" w:space="0"/>
              <w:left w:val="single" w:color="000000" w:sz="4" w:space="0"/>
              <w:bottom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地面清洁，无灰尘，无杂物堆积。</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33</w:t>
            </w:r>
          </w:p>
        </w:tc>
        <w:tc>
          <w:tcPr>
            <w:tcW w:w="85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小广告</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及时清除</w:t>
            </w:r>
          </w:p>
        </w:tc>
        <w:tc>
          <w:tcPr>
            <w:tcW w:w="3789" w:type="dxa"/>
            <w:tcBorders>
              <w:top w:val="single" w:color="000000" w:sz="4" w:space="0"/>
              <w:left w:val="single" w:color="000000" w:sz="4" w:space="0"/>
              <w:bottom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无小广告张贴现象。</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34</w:t>
            </w:r>
          </w:p>
        </w:tc>
        <w:tc>
          <w:tcPr>
            <w:tcW w:w="85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消防箱</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w:t>
            </w:r>
          </w:p>
        </w:tc>
        <w:tc>
          <w:tcPr>
            <w:tcW w:w="37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干净无灰尘，无积尘，无张贴，无乱画现象，消防栓干净无积尘。</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0"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35</w:t>
            </w:r>
          </w:p>
        </w:tc>
        <w:tc>
          <w:tcPr>
            <w:tcW w:w="853"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地下停车场</w:t>
            </w:r>
          </w:p>
        </w:tc>
        <w:tc>
          <w:tcPr>
            <w:tcW w:w="990"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10%</w:t>
            </w: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停车场入口</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w:t>
            </w:r>
          </w:p>
        </w:tc>
        <w:tc>
          <w:tcPr>
            <w:tcW w:w="37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保持进出口坡道干净无污，无纸屑，无烟头，无石块，无碎玻璃等杂物。</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36</w:t>
            </w:r>
          </w:p>
        </w:tc>
        <w:tc>
          <w:tcPr>
            <w:tcW w:w="85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地面</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w:t>
            </w:r>
          </w:p>
        </w:tc>
        <w:tc>
          <w:tcPr>
            <w:tcW w:w="37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地面干净，无垃圾，无纸屑，无烟头，无污渍，无泥土，无水渍，无油渍。</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5"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37</w:t>
            </w:r>
          </w:p>
        </w:tc>
        <w:tc>
          <w:tcPr>
            <w:tcW w:w="85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设备设施</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清洁维护</w:t>
            </w:r>
          </w:p>
        </w:tc>
        <w:tc>
          <w:tcPr>
            <w:tcW w:w="37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表面无灰尘，无张贴，无蜘蛛网，照明灯亮，无损坏。</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38</w:t>
            </w:r>
          </w:p>
        </w:tc>
        <w:tc>
          <w:tcPr>
            <w:tcW w:w="85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排水沟等沟槽</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w:t>
            </w:r>
          </w:p>
        </w:tc>
        <w:tc>
          <w:tcPr>
            <w:tcW w:w="37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无杂物，无泥沙，无堵塞，排水通畅。</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39</w:t>
            </w:r>
          </w:p>
        </w:tc>
        <w:tc>
          <w:tcPr>
            <w:tcW w:w="85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小广告</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及时清除</w:t>
            </w:r>
          </w:p>
        </w:tc>
        <w:tc>
          <w:tcPr>
            <w:tcW w:w="3789" w:type="dxa"/>
            <w:tcBorders>
              <w:top w:val="single" w:color="000000" w:sz="4" w:space="0"/>
              <w:left w:val="single" w:color="000000" w:sz="4" w:space="0"/>
              <w:bottom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无小广告张贴现象。</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5"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40</w:t>
            </w:r>
          </w:p>
        </w:tc>
        <w:tc>
          <w:tcPr>
            <w:tcW w:w="853"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保洁形象</w:t>
            </w:r>
          </w:p>
        </w:tc>
        <w:tc>
          <w:tcPr>
            <w:tcW w:w="990"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10%</w:t>
            </w: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服装</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统一</w:t>
            </w:r>
          </w:p>
        </w:tc>
        <w:tc>
          <w:tcPr>
            <w:tcW w:w="37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人员统一着装，佩带标志。</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41</w:t>
            </w:r>
          </w:p>
        </w:tc>
        <w:tc>
          <w:tcPr>
            <w:tcW w:w="853" w:type="dxa"/>
            <w:vMerge w:val="continue"/>
            <w:tcBorders>
              <w:top w:val="single" w:color="000000" w:sz="4" w:space="0"/>
              <w:left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仪表</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规范</w:t>
            </w:r>
          </w:p>
        </w:tc>
        <w:tc>
          <w:tcPr>
            <w:tcW w:w="37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仪表整洁，用语文明，礼仪规范。</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42</w:t>
            </w:r>
          </w:p>
        </w:tc>
        <w:tc>
          <w:tcPr>
            <w:tcW w:w="853"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垃圾处理及消杀工作</w:t>
            </w:r>
          </w:p>
        </w:tc>
        <w:tc>
          <w:tcPr>
            <w:tcW w:w="990"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10%</w:t>
            </w: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垃圾清运</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严格实施</w:t>
            </w:r>
          </w:p>
        </w:tc>
        <w:tc>
          <w:tcPr>
            <w:tcW w:w="37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垃圾清运管理符合规范标准，无满溢、遗撒。</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43</w:t>
            </w:r>
          </w:p>
        </w:tc>
        <w:tc>
          <w:tcPr>
            <w:tcW w:w="85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设施卫生</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及时清理</w:t>
            </w:r>
          </w:p>
        </w:tc>
        <w:tc>
          <w:tcPr>
            <w:tcW w:w="37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垃圾桶身和垃圾房清洁，无异味。</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44</w:t>
            </w:r>
          </w:p>
        </w:tc>
        <w:tc>
          <w:tcPr>
            <w:tcW w:w="85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记录表</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详细准确</w:t>
            </w:r>
          </w:p>
        </w:tc>
        <w:tc>
          <w:tcPr>
            <w:tcW w:w="37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园区消毒灭杀计划并记录。</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45</w:t>
            </w:r>
          </w:p>
        </w:tc>
        <w:tc>
          <w:tcPr>
            <w:tcW w:w="85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4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记录表</w:t>
            </w:r>
          </w:p>
        </w:tc>
        <w:tc>
          <w:tcPr>
            <w:tcW w:w="9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详细准确</w:t>
            </w:r>
          </w:p>
        </w:tc>
        <w:tc>
          <w:tcPr>
            <w:tcW w:w="37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园区灭鼠、除虫点位图、管理记录。</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54"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46</w:t>
            </w:r>
          </w:p>
        </w:tc>
        <w:tc>
          <w:tcPr>
            <w:tcW w:w="853"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统筹实施</w:t>
            </w:r>
          </w:p>
        </w:tc>
        <w:tc>
          <w:tcPr>
            <w:tcW w:w="99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10%</w:t>
            </w:r>
          </w:p>
        </w:tc>
        <w:tc>
          <w:tcPr>
            <w:tcW w:w="6174"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按时制定月工作计划，并实施；切合实际制订各岗日常保洁流程表。</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4"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47</w:t>
            </w:r>
          </w:p>
        </w:tc>
        <w:tc>
          <w:tcPr>
            <w:tcW w:w="853" w:type="dxa"/>
            <w:vMerge w:val="continue"/>
            <w:tcBorders>
              <w:top w:val="single" w:color="000000" w:sz="4" w:space="0"/>
              <w:left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90" w:type="dxa"/>
            <w:vMerge w:val="continue"/>
            <w:tcBorders>
              <w:top w:val="single" w:color="000000" w:sz="4" w:space="0"/>
              <w:left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6174"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有制定保洁工作责任区域表，并每月进行更新存档。</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9"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48</w:t>
            </w:r>
          </w:p>
        </w:tc>
        <w:tc>
          <w:tcPr>
            <w:tcW w:w="853" w:type="dxa"/>
            <w:vMerge w:val="continue"/>
            <w:tcBorders>
              <w:top w:val="single" w:color="000000" w:sz="4" w:space="0"/>
              <w:left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90" w:type="dxa"/>
            <w:vMerge w:val="continue"/>
            <w:tcBorders>
              <w:top w:val="single" w:color="000000" w:sz="4" w:space="0"/>
              <w:left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6174"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保洁日常操作记录完整；对现场有巡视检查整改记录，记录完整。</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5"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49</w:t>
            </w:r>
          </w:p>
        </w:tc>
        <w:tc>
          <w:tcPr>
            <w:tcW w:w="853" w:type="dxa"/>
            <w:vMerge w:val="continue"/>
            <w:tcBorders>
              <w:top w:val="single" w:color="000000" w:sz="4" w:space="0"/>
              <w:left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90" w:type="dxa"/>
            <w:vMerge w:val="continue"/>
            <w:tcBorders>
              <w:top w:val="single" w:color="000000" w:sz="4" w:space="0"/>
              <w:left w:val="single" w:color="000000" w:sz="4" w:space="0"/>
              <w:right w:val="single" w:color="000000" w:sz="4" w:space="0"/>
            </w:tcBorders>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6174"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保洁人员出勤有查验记录，每月更新最新名单给监管负责人备案。</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23" w:hRule="atLeast"/>
        </w:trPr>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50</w:t>
            </w:r>
          </w:p>
        </w:tc>
        <w:tc>
          <w:tcPr>
            <w:tcW w:w="8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商业区域</w:t>
            </w:r>
          </w:p>
        </w:tc>
        <w:tc>
          <w:tcPr>
            <w:tcW w:w="9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10%</w:t>
            </w:r>
          </w:p>
        </w:tc>
        <w:tc>
          <w:tcPr>
            <w:tcW w:w="6174"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商业区域卫生良好，无垃圾无污渍</w:t>
            </w:r>
          </w:p>
        </w:tc>
        <w:tc>
          <w:tcPr>
            <w:tcW w:w="13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100%</w:t>
            </w:r>
          </w:p>
        </w:tc>
      </w:tr>
    </w:tbl>
    <w:p>
      <w:pPr>
        <w:widowControl w:val="0"/>
        <w:numPr>
          <w:ilvl w:val="0"/>
          <w:numId w:val="0"/>
        </w:numPr>
        <w:spacing w:line="480" w:lineRule="exact"/>
        <w:jc w:val="both"/>
        <w:rPr>
          <w:rFonts w:hint="eastAsia" w:ascii="仿宋_GB2312" w:hAnsi="仿宋_GB2312" w:eastAsia="仿宋_GB2312" w:cs="仿宋_GB2312"/>
          <w:color w:val="auto"/>
          <w:highlight w:val="none"/>
        </w:rPr>
      </w:pPr>
    </w:p>
    <w:p>
      <w:pPr>
        <w:numPr>
          <w:ilvl w:val="0"/>
          <w:numId w:val="0"/>
        </w:numPr>
        <w:spacing w:line="480" w:lineRule="exact"/>
        <w:jc w:val="center"/>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br w:type="page"/>
      </w:r>
    </w:p>
    <w:p>
      <w:pPr>
        <w:numPr>
          <w:ilvl w:val="0"/>
          <w:numId w:val="0"/>
        </w:numPr>
        <w:spacing w:line="480" w:lineRule="exact"/>
        <w:jc w:val="center"/>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售楼处保洁工作每日定量考核表</w:t>
      </w:r>
    </w:p>
    <w:tbl>
      <w:tblPr>
        <w:tblStyle w:val="10"/>
        <w:tblpPr w:leftFromText="180" w:rightFromText="180" w:vertAnchor="text" w:horzAnchor="page" w:tblpX="1114" w:tblpY="42"/>
        <w:tblOverlap w:val="never"/>
        <w:tblW w:w="99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750"/>
        <w:gridCol w:w="1100"/>
        <w:gridCol w:w="983"/>
        <w:gridCol w:w="1500"/>
        <w:gridCol w:w="1410"/>
        <w:gridCol w:w="3190"/>
        <w:gridCol w:w="9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55" w:hRule="atLeast"/>
        </w:trPr>
        <w:tc>
          <w:tcPr>
            <w:tcW w:w="750" w:type="dxa"/>
            <w:tcBorders>
              <w:top w:val="single" w:color="000000" w:sz="4" w:space="0"/>
              <w:left w:val="single" w:color="000000" w:sz="4" w:space="0"/>
              <w:bottom w:val="single" w:color="000000" w:sz="4" w:space="0"/>
              <w:right w:val="single" w:color="000000" w:sz="4" w:space="0"/>
            </w:tcBorders>
            <w:shd w:val="clear" w:color="auto" w:fill="FABF8F"/>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序号</w:t>
            </w:r>
          </w:p>
        </w:tc>
        <w:tc>
          <w:tcPr>
            <w:tcW w:w="1100" w:type="dxa"/>
            <w:tcBorders>
              <w:top w:val="single" w:color="000000" w:sz="4" w:space="0"/>
              <w:left w:val="single" w:color="000000" w:sz="4" w:space="0"/>
              <w:bottom w:val="single" w:color="000000" w:sz="4" w:space="0"/>
              <w:right w:val="single" w:color="000000" w:sz="4" w:space="0"/>
            </w:tcBorders>
            <w:shd w:val="clear" w:color="auto" w:fill="FABF8F"/>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工作区域</w:t>
            </w:r>
          </w:p>
        </w:tc>
        <w:tc>
          <w:tcPr>
            <w:tcW w:w="983" w:type="dxa"/>
            <w:tcBorders>
              <w:top w:val="single" w:color="000000" w:sz="4" w:space="0"/>
              <w:left w:val="single" w:color="000000" w:sz="4" w:space="0"/>
              <w:bottom w:val="single" w:color="000000" w:sz="4" w:space="0"/>
              <w:right w:val="single" w:color="000000" w:sz="4" w:space="0"/>
            </w:tcBorders>
            <w:shd w:val="clear" w:color="auto" w:fill="FABF8F"/>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占总百分比例（%）</w:t>
            </w:r>
          </w:p>
        </w:tc>
        <w:tc>
          <w:tcPr>
            <w:tcW w:w="1500" w:type="dxa"/>
            <w:tcBorders>
              <w:top w:val="single" w:color="000000" w:sz="4" w:space="0"/>
              <w:left w:val="single" w:color="000000" w:sz="4" w:space="0"/>
              <w:bottom w:val="single" w:color="000000" w:sz="4" w:space="0"/>
              <w:right w:val="single" w:color="000000" w:sz="4" w:space="0"/>
            </w:tcBorders>
            <w:shd w:val="clear" w:color="auto" w:fill="FABF8F"/>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作业大项</w:t>
            </w:r>
          </w:p>
        </w:tc>
        <w:tc>
          <w:tcPr>
            <w:tcW w:w="1410" w:type="dxa"/>
            <w:tcBorders>
              <w:top w:val="single" w:color="000000" w:sz="4" w:space="0"/>
              <w:left w:val="single" w:color="000000" w:sz="4" w:space="0"/>
              <w:bottom w:val="single" w:color="000000" w:sz="4" w:space="0"/>
              <w:right w:val="single" w:color="000000" w:sz="4" w:space="0"/>
            </w:tcBorders>
            <w:shd w:val="clear" w:color="auto" w:fill="FABF8F"/>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检查方向</w:t>
            </w:r>
          </w:p>
        </w:tc>
        <w:tc>
          <w:tcPr>
            <w:tcW w:w="3190" w:type="dxa"/>
            <w:tcBorders>
              <w:top w:val="single" w:color="000000" w:sz="4" w:space="0"/>
              <w:left w:val="single" w:color="000000" w:sz="4" w:space="0"/>
              <w:bottom w:val="single" w:color="000000" w:sz="4" w:space="0"/>
              <w:right w:val="single" w:color="000000" w:sz="4" w:space="0"/>
            </w:tcBorders>
            <w:shd w:val="clear" w:color="auto" w:fill="FABF8F"/>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考核点</w:t>
            </w:r>
          </w:p>
        </w:tc>
        <w:tc>
          <w:tcPr>
            <w:tcW w:w="967" w:type="dxa"/>
            <w:tcBorders>
              <w:top w:val="single" w:color="000000" w:sz="4" w:space="0"/>
              <w:left w:val="single" w:color="000000" w:sz="4" w:space="0"/>
              <w:bottom w:val="single" w:color="000000" w:sz="4" w:space="0"/>
              <w:right w:val="single" w:color="000000" w:sz="4" w:space="0"/>
            </w:tcBorders>
            <w:shd w:val="clear" w:color="auto" w:fill="FABF8F"/>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占</w:t>
            </w:r>
            <w:r>
              <w:rPr>
                <w:rStyle w:val="14"/>
                <w:rFonts w:hint="eastAsia" w:ascii="仿宋_GB2312" w:hAnsi="仿宋_GB2312" w:eastAsia="仿宋_GB2312" w:cs="仿宋_GB2312"/>
                <w:b w:val="0"/>
                <w:bCs/>
                <w:color w:val="auto"/>
                <w:sz w:val="18"/>
                <w:szCs w:val="18"/>
                <w:highlight w:val="none"/>
                <w:lang w:val="en-US" w:eastAsia="zh-CN" w:bidi="ar"/>
              </w:rPr>
              <w:t>工作区域百分比例（%）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1</w:t>
            </w: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室外区域</w:t>
            </w:r>
          </w:p>
        </w:tc>
        <w:tc>
          <w:tcPr>
            <w:tcW w:w="9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20%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标牌标识</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标牌养护</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清擦标牌、标识表面，无尘、无污迹，每周采用专用养护清洁剂进行清洁养护，防治养化</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2</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休息区</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擦拭</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外围游乐设施或供业主休息的桌椅整洁。</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3</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水景池</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清洗水景池</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 xml:space="preserve">目视水池清澈见底，池底无沉淀物、杂物，水面无漂浮物、枯树叶，边壁无锈斑、污迹、青苔，水无异味。 </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4</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垃圾桶</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清洁垃圾桶</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垃圾桶内杂物不超过三分之二，烟头不超过三个。</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5</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草坪</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草坪保洁</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草坪内无白色垃圾及建筑垃圾。</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6</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地面</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地面保洁</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无垃圾，无污渍</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7</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墙面</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墙面保洁</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外墙干净，无乱贴；</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8</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装饰品</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保洁保养</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装饰小品、室外座椅、垃圾桶等洁净；</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9</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广场、室外接待区</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广场和室外接待区域干净</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10</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观光车</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保洁保养</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车体内外干净整洁</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11</w:t>
            </w: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员工仪容</w:t>
            </w:r>
          </w:p>
        </w:tc>
        <w:tc>
          <w:tcPr>
            <w:tcW w:w="9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15%</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配饰</w:t>
            </w:r>
          </w:p>
        </w:tc>
        <w:tc>
          <w:tcPr>
            <w:tcW w:w="14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统一、干净整洁</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穿着统一服装，佩戴工号牌和规定饰品</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12</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衣、裤</w:t>
            </w: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整洁合身，衣裤平整无明显褶皱，不卷袖口裤脚，不缺扣，不解扣；</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13</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鞋</w:t>
            </w: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环境员穿黑色平底工作鞋；</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14</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头发</w:t>
            </w: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男不留长发、胡须，不剃光头；女长发束拢，发饰整洁，无耳发盖面；</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15</w:t>
            </w: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员工行为</w:t>
            </w:r>
          </w:p>
        </w:tc>
        <w:tc>
          <w:tcPr>
            <w:tcW w:w="9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15%</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仪表</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规范</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保持应有的岗位仪态和要求；</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16</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走路</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规范</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公共区域两人以上，须成列成队行走；</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17</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严禁事项</w:t>
            </w:r>
          </w:p>
        </w:tc>
        <w:tc>
          <w:tcPr>
            <w:tcW w:w="14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形象</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禁止着工装在公区吸烟，无论是否在岗；</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18</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非因岗位安排，不得在接待区闲聊、休息；</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19</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禁止私自使用吧台饮料、水果等食品；</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20</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营业期间，不得从事有碍形象的作业（如高空作业）；</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21</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周边卫生</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尽职尽责</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任何员工见到地上纸屑、烟头、垃圾杂物应顺手拾起和整理；</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22</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物品</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摆放</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任何工具摆放以不影响观瞻形象为标准，尽可能放在暗处，放到指定地方；</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5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23</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礼貌用语</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规范</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基本岗位规范：有声问好“您好”、“您好欢迎光临”、“谢谢光临，请慢走”，对到访客人或经过面前客人，要问好</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24</w:t>
            </w: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销售展示厅</w:t>
            </w:r>
          </w:p>
        </w:tc>
        <w:tc>
          <w:tcPr>
            <w:tcW w:w="9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15%</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绿植</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绿植清洁</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展厅内部绿色植物叶面无积尘，底盘洁净，植物摆于底盘正中，土壤有小石头装饰。</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25</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模型</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模型保洁</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售房模型保洁符合要求，玻璃柜上无明显指纹痕迹，目视无保洁人员手持扫帚在大厅走动。</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26</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地面</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地面保洁</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无垃圾，无污渍</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27</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墙面</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墙面保洁</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干净，无污渍，乱贴；</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28</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灯</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清洁灯具</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灯具、装饰、窗帘、墙地面干净整洁完好；</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29</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道具</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清洁道具</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销售道具、喷绘广告招贴整洁度；</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30</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其他</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无杂物</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大厅客户视线内无保洁物品乱摆放，无杂物；</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31</w:t>
            </w: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样板间</w:t>
            </w:r>
          </w:p>
        </w:tc>
        <w:tc>
          <w:tcPr>
            <w:tcW w:w="9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15%</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仪容仪表</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规范</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保洁人员面带微笑，举止礼貌得体，能够做到主动避让客户，主动向客户问好。</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32</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绿植</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清洁绿植</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室内绿化植物叶面无尘积，花盆内无杂物，底盘洁净，植物放于底盘正中，土壤有小石头装饰。</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33</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环境卫生</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样板间清洁</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房间干净，手摸无灰，无异味霉味，无苍蝇，无蛛网，无污渍；</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34</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设备设施</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清洁摆放</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房间设施、饰品、家居按规定摆放，及时归位和整理，保持完整；</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35</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其他</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私人物品</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房间及柜体内不得摆放多余物件及个人物品；</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36</w:t>
            </w: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吧台和接待区域</w:t>
            </w:r>
          </w:p>
        </w:tc>
        <w:tc>
          <w:tcPr>
            <w:tcW w:w="9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服务</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及时</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客户落坐后送上饮品，客人离开后及时收拾桌面；</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37</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水杯</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水杯无污渍、无缺口或破损；</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38</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托盘</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专业</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送水用托盘；</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39</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饮料</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按时节</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吧台按时节，提供规定品种饮料；</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40</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巡视</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及时</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巡台及时，客人洽谈时水杯有垫底，烟灰缸清洁，桌面废纸巾无积留。</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41</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蚊虫</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无苍蝇蚊虫；</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42</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烟灰缸</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桌面烟灰缸内烟蒂不超过3枚，更换烟灰缸时，将需更换的烟灰缸用纸巾盖住，在换上未使用的烟灰缸。</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43</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添茶水</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服务细心</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15分钟巡视一次为客户增添茶水，将客户的茶杯拿至右手边，侧身加水，加八分满即可。</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44</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清理桌面</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客户离去后，清理桌面，物品摆放归位。纸巾盒与烟缸距离一掌宽，纸巾须叠成三角形。</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45</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沙盘</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沙盘干净，每日清洁4次，无明显污渍灰尘；</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46</w:t>
            </w: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卫生间</w:t>
            </w:r>
          </w:p>
        </w:tc>
        <w:tc>
          <w:tcPr>
            <w:tcW w:w="9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地面</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清洁消毒</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洗手间环境干净，无异味，地面台面无烟头、痰液等不卫生事物；</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47</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卫生用品</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及时补充</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洗手间放置卫生纸和洗手液，并及时补充。</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48</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门</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门把手、门、插销设施完好、干净整洁</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49</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水龙头</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水龙头卫生设施完好、无污渍</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50</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坐便器</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坐便器卫生设施完好、干净整洁；</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51</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垃圾桶</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垃圾桶内垃圾不超过三人之二。</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52</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记录表</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真实准确</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有巡视清洁记录表。</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53</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镜面、台面</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清洁</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镜面、台面无积水。</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54</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i w:val="0"/>
                <w:color w:val="auto"/>
                <w:sz w:val="18"/>
                <w:szCs w:val="1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提示牌</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提示及时</w:t>
            </w:r>
          </w:p>
        </w:tc>
        <w:tc>
          <w:tcPr>
            <w:tcW w:w="3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Cs/>
                <w:i w:val="0"/>
                <w:color w:val="auto"/>
                <w:sz w:val="18"/>
                <w:szCs w:val="18"/>
                <w:highlight w:val="none"/>
                <w:u w:val="none"/>
              </w:rPr>
            </w:pPr>
            <w:r>
              <w:rPr>
                <w:rFonts w:hint="eastAsia" w:ascii="仿宋_GB2312" w:hAnsi="仿宋_GB2312" w:eastAsia="仿宋_GB2312" w:cs="仿宋_GB2312"/>
                <w:bCs/>
                <w:i w:val="0"/>
                <w:color w:val="auto"/>
                <w:kern w:val="0"/>
                <w:sz w:val="18"/>
                <w:szCs w:val="18"/>
                <w:highlight w:val="none"/>
                <w:u w:val="none"/>
                <w:lang w:val="en-US" w:eastAsia="zh-CN" w:bidi="ar"/>
              </w:rPr>
              <w:t>打扫卫生间时有工作提示牌。</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auto"/>
                <w:sz w:val="18"/>
                <w:szCs w:val="18"/>
                <w:highlight w:val="none"/>
                <w:u w:val="none"/>
              </w:rPr>
            </w:pPr>
            <w:r>
              <w:rPr>
                <w:rFonts w:hint="eastAsia" w:ascii="仿宋_GB2312" w:hAnsi="仿宋_GB2312" w:eastAsia="仿宋_GB2312" w:cs="仿宋_GB2312"/>
                <w:b w:val="0"/>
                <w:bCs/>
                <w:i w:val="0"/>
                <w:color w:val="auto"/>
                <w:kern w:val="0"/>
                <w:sz w:val="18"/>
                <w:szCs w:val="18"/>
                <w:highlight w:val="none"/>
                <w:u w:val="none"/>
                <w:lang w:val="en-US" w:eastAsia="zh-CN" w:bidi="ar"/>
              </w:rPr>
              <w:t>5%</w:t>
            </w:r>
          </w:p>
        </w:tc>
      </w:tr>
    </w:tbl>
    <w:p>
      <w:pPr>
        <w:widowControl w:val="0"/>
        <w:numPr>
          <w:ilvl w:val="0"/>
          <w:numId w:val="0"/>
        </w:numPr>
        <w:spacing w:line="480" w:lineRule="exact"/>
        <w:jc w:val="both"/>
        <w:rPr>
          <w:rFonts w:hint="eastAsia" w:ascii="仿宋_GB2312" w:hAnsi="仿宋_GB2312" w:eastAsia="仿宋_GB2312" w:cs="仿宋_GB2312"/>
          <w:color w:val="auto"/>
          <w:highlight w:val="none"/>
        </w:rPr>
      </w:pPr>
    </w:p>
    <w:p>
      <w:pPr>
        <w:widowControl w:val="0"/>
        <w:numPr>
          <w:ilvl w:val="0"/>
          <w:numId w:val="0"/>
        </w:numPr>
        <w:spacing w:line="480" w:lineRule="exact"/>
        <w:jc w:val="both"/>
        <w:rPr>
          <w:rFonts w:hint="eastAsia" w:ascii="仿宋_GB2312" w:hAnsi="仿宋_GB2312" w:eastAsia="仿宋_GB2312" w:cs="仿宋_GB2312"/>
          <w:color w:val="auto"/>
          <w:highlight w:val="none"/>
        </w:rPr>
        <w:sectPr>
          <w:footerReference r:id="rId5" w:type="default"/>
          <w:pgSz w:w="11906" w:h="16838"/>
          <w:pgMar w:top="1440" w:right="1803" w:bottom="1440" w:left="1803" w:header="851" w:footer="907" w:gutter="0"/>
          <w:pgNumType w:fmt="numberInDash" w:start="1"/>
          <w:cols w:space="0" w:num="1"/>
          <w:rtlGutter w:val="0"/>
          <w:docGrid w:linePitch="312" w:charSpace="0"/>
        </w:sectPr>
      </w:pPr>
    </w:p>
    <w:p>
      <w:pPr>
        <w:keepNext w:val="0"/>
        <w:keepLines w:val="0"/>
        <w:pageBreakBefore w:val="0"/>
        <w:widowControl w:val="0"/>
        <w:numPr>
          <w:ilvl w:val="0"/>
          <w:numId w:val="17"/>
        </w:numPr>
        <w:kinsoku/>
        <w:wordWrap/>
        <w:overflowPunct/>
        <w:topLinePunct w:val="0"/>
        <w:autoSpaceDE/>
        <w:autoSpaceDN/>
        <w:bidi w:val="0"/>
        <w:adjustRightInd/>
        <w:snapToGrid/>
        <w:spacing w:line="240" w:lineRule="auto"/>
        <w:ind w:left="0" w:leftChars="0"/>
        <w:jc w:val="center"/>
        <w:textAlignment w:val="auto"/>
        <w:outlineLvl w:val="0"/>
        <w:rPr>
          <w:rFonts w:hint="eastAsia" w:ascii="仿宋_GB2312" w:hAnsi="仿宋_GB2312" w:eastAsia="仿宋_GB2312" w:cs="仿宋_GB2312"/>
          <w:b/>
          <w:bCs/>
          <w:color w:val="auto"/>
          <w:sz w:val="36"/>
          <w:szCs w:val="36"/>
          <w:highlight w:val="none"/>
          <w:lang w:val="en-US" w:eastAsia="zh-CN"/>
        </w:rPr>
      </w:pPr>
      <w:bookmarkStart w:id="3" w:name="_Toc28390"/>
      <w:r>
        <w:rPr>
          <w:rFonts w:hint="eastAsia" w:ascii="仿宋_GB2312" w:hAnsi="仿宋_GB2312" w:eastAsia="仿宋_GB2312" w:cs="仿宋_GB2312"/>
          <w:b/>
          <w:bCs/>
          <w:color w:val="auto"/>
          <w:sz w:val="36"/>
          <w:szCs w:val="36"/>
          <w:highlight w:val="none"/>
          <w:lang w:val="en-US" w:eastAsia="zh-CN"/>
        </w:rPr>
        <w:t>合格供方的奖惩及退出机制</w:t>
      </w:r>
      <w:bookmarkEnd w:id="3"/>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0"/>
        <w:jc w:val="both"/>
        <w:textAlignment w:val="auto"/>
        <w:outlineLvl w:val="0"/>
        <w:rPr>
          <w:rFonts w:hint="eastAsia" w:ascii="仿宋_GB2312" w:hAnsi="仿宋_GB2312" w:eastAsia="仿宋_GB2312" w:cs="仿宋_GB2312"/>
          <w:color w:val="auto"/>
          <w:sz w:val="30"/>
          <w:szCs w:val="30"/>
          <w:highlight w:val="none"/>
          <w:lang w:val="en-US" w:eastAsia="zh-CN"/>
        </w:rPr>
      </w:pPr>
    </w:p>
    <w:p>
      <w:pPr>
        <w:pStyle w:val="4"/>
        <w:keepNext w:val="0"/>
        <w:keepLines w:val="0"/>
        <w:pageBreakBefore w:val="0"/>
        <w:widowControl w:val="0"/>
        <w:numPr>
          <w:ilvl w:val="0"/>
          <w:numId w:val="18"/>
        </w:numPr>
        <w:kinsoku/>
        <w:wordWrap/>
        <w:overflowPunct/>
        <w:topLinePunct w:val="0"/>
        <w:autoSpaceDE/>
        <w:autoSpaceDN/>
        <w:bidi w:val="0"/>
        <w:adjustRightInd/>
        <w:snapToGrid/>
        <w:spacing w:line="360" w:lineRule="auto"/>
        <w:ind w:left="-18" w:right="0" w:rightChars="0" w:firstLine="382" w:firstLineChars="182"/>
        <w:jc w:val="both"/>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eastAsia="zh-CN"/>
        </w:rPr>
        <w:t>各单位在</w:t>
      </w:r>
      <w:r>
        <w:rPr>
          <w:rFonts w:hint="eastAsia" w:ascii="仿宋_GB2312" w:hAnsi="仿宋_GB2312" w:eastAsia="仿宋_GB2312" w:cs="仿宋_GB2312"/>
          <w:color w:val="auto"/>
          <w:sz w:val="28"/>
          <w:szCs w:val="28"/>
          <w:highlight w:val="none"/>
          <w:lang w:val="en-US" w:eastAsia="zh-CN"/>
        </w:rPr>
        <w:t>保洁服务合同中，应约定不少于30天的服务考察期。</w:t>
      </w:r>
      <w:r>
        <w:rPr>
          <w:rFonts w:hint="eastAsia" w:ascii="仿宋_GB2312" w:hAnsi="仿宋_GB2312" w:eastAsia="仿宋_GB2312" w:cs="仿宋_GB2312"/>
          <w:color w:val="auto"/>
          <w:sz w:val="28"/>
          <w:szCs w:val="28"/>
          <w:highlight w:val="none"/>
        </w:rPr>
        <w:t>考察期内，如甲方认为乙方提供的保洁服务不符合本合同</w:t>
      </w:r>
      <w:r>
        <w:rPr>
          <w:rFonts w:hint="eastAsia" w:ascii="仿宋_GB2312" w:hAnsi="仿宋_GB2312" w:eastAsia="仿宋_GB2312" w:cs="仿宋_GB2312"/>
          <w:color w:val="auto"/>
          <w:sz w:val="28"/>
          <w:szCs w:val="28"/>
          <w:highlight w:val="none"/>
          <w:lang w:eastAsia="zh-CN"/>
        </w:rPr>
        <w:t>任一</w:t>
      </w:r>
      <w:r>
        <w:rPr>
          <w:rFonts w:hint="eastAsia" w:ascii="仿宋_GB2312" w:hAnsi="仿宋_GB2312" w:eastAsia="仿宋_GB2312" w:cs="仿宋_GB2312"/>
          <w:color w:val="auto"/>
          <w:sz w:val="28"/>
          <w:szCs w:val="28"/>
          <w:highlight w:val="none"/>
        </w:rPr>
        <w:t>约定，甲方可立即通知乙方终止本合同而无需向乙方说明任何理由，自甲方通知到达乙方时本合同终止，双方按乙方实际提供服务的天数结算保洁费用，除此之外，甲方无需承担其他任何费用或责任。</w:t>
      </w:r>
    </w:p>
    <w:p>
      <w:pPr>
        <w:pStyle w:val="4"/>
        <w:keepNext w:val="0"/>
        <w:keepLines w:val="0"/>
        <w:pageBreakBefore w:val="0"/>
        <w:widowControl w:val="0"/>
        <w:numPr>
          <w:ilvl w:val="0"/>
          <w:numId w:val="18"/>
        </w:numPr>
        <w:kinsoku/>
        <w:wordWrap/>
        <w:overflowPunct/>
        <w:topLinePunct w:val="0"/>
        <w:autoSpaceDE/>
        <w:autoSpaceDN/>
        <w:bidi w:val="0"/>
        <w:adjustRightInd/>
        <w:snapToGrid/>
        <w:spacing w:line="360" w:lineRule="auto"/>
        <w:ind w:left="-18" w:right="0" w:rightChars="0" w:firstLine="382" w:firstLineChars="182"/>
        <w:jc w:val="both"/>
        <w:textAlignment w:val="auto"/>
        <w:rPr>
          <w:rFonts w:hint="eastAsia" w:ascii="仿宋_GB2312" w:hAnsi="仿宋_GB2312" w:eastAsia="仿宋_GB2312" w:cs="仿宋_GB2312"/>
          <w:color w:val="auto"/>
          <w:sz w:val="28"/>
          <w:szCs w:val="28"/>
          <w:highlight w:val="none"/>
          <w:lang w:val="en-US" w:eastAsia="zh-CN"/>
        </w:rPr>
      </w:pPr>
      <w:bookmarkStart w:id="4" w:name="_Toc27217"/>
      <w:r>
        <w:rPr>
          <w:rFonts w:hint="eastAsia" w:ascii="仿宋_GB2312" w:hAnsi="仿宋_GB2312" w:eastAsia="仿宋_GB2312" w:cs="仿宋_GB2312"/>
          <w:color w:val="auto"/>
          <w:sz w:val="28"/>
          <w:szCs w:val="28"/>
          <w:highlight w:val="none"/>
          <w:lang w:val="en-US" w:eastAsia="zh-CN"/>
        </w:rPr>
        <w:t>日常清洁服务品质实行动态管理，各项目每日按服务标准进行检查评价，根据合同相关条款进行处理。</w:t>
      </w:r>
      <w:bookmarkEnd w:id="4"/>
    </w:p>
    <w:p>
      <w:pPr>
        <w:pStyle w:val="4"/>
        <w:keepNext w:val="0"/>
        <w:keepLines w:val="0"/>
        <w:pageBreakBefore w:val="0"/>
        <w:widowControl w:val="0"/>
        <w:numPr>
          <w:ilvl w:val="0"/>
          <w:numId w:val="18"/>
        </w:numPr>
        <w:kinsoku/>
        <w:wordWrap/>
        <w:overflowPunct/>
        <w:topLinePunct w:val="0"/>
        <w:autoSpaceDE/>
        <w:autoSpaceDN/>
        <w:bidi w:val="0"/>
        <w:adjustRightInd/>
        <w:snapToGrid/>
        <w:spacing w:line="360" w:lineRule="auto"/>
        <w:ind w:left="-18" w:right="0" w:rightChars="0" w:firstLine="382" w:firstLineChars="182"/>
        <w:jc w:val="both"/>
        <w:textAlignment w:val="auto"/>
        <w:rPr>
          <w:rFonts w:hint="eastAsia" w:ascii="仿宋_GB2312" w:hAnsi="仿宋_GB2312" w:eastAsia="仿宋_GB2312" w:cs="仿宋_GB2312"/>
          <w:color w:val="auto"/>
          <w:sz w:val="28"/>
          <w:szCs w:val="28"/>
          <w:highlight w:val="none"/>
          <w:lang w:val="en-US" w:eastAsia="zh-CN"/>
        </w:rPr>
      </w:pPr>
      <w:bookmarkStart w:id="5" w:name="_Toc17166"/>
      <w:r>
        <w:rPr>
          <w:rFonts w:hint="eastAsia" w:ascii="仿宋_GB2312" w:hAnsi="仿宋_GB2312" w:eastAsia="仿宋_GB2312" w:cs="仿宋_GB2312"/>
          <w:color w:val="auto"/>
          <w:sz w:val="28"/>
          <w:szCs w:val="28"/>
          <w:highlight w:val="none"/>
          <w:lang w:val="en-US" w:eastAsia="zh-CN"/>
        </w:rPr>
        <w:t>在集团及第三方客户满意度调查、集团物业大检查、总公司品质检查、集团400客户信息平台等权威部门的评价中，清洁服务评价最佳、千户投诉率最低的前三名清洁服务供方，</w:t>
      </w:r>
      <w:bookmarkEnd w:id="5"/>
      <w:r>
        <w:rPr>
          <w:rFonts w:hint="eastAsia" w:ascii="仿宋_GB2312" w:hAnsi="仿宋_GB2312" w:eastAsia="仿宋_GB2312" w:cs="仿宋_GB2312"/>
          <w:color w:val="auto"/>
          <w:sz w:val="28"/>
          <w:szCs w:val="28"/>
          <w:highlight w:val="none"/>
          <w:lang w:val="en-US" w:eastAsia="zh-CN"/>
        </w:rPr>
        <w:t>自考评公布之日起十二个月内，该单位投标时，允许其在“商务标综合得分”中加5分。该权利只能使用一次。未行使的该权利自动作废。</w:t>
      </w:r>
    </w:p>
    <w:p>
      <w:pPr>
        <w:pStyle w:val="4"/>
        <w:keepNext w:val="0"/>
        <w:keepLines w:val="0"/>
        <w:pageBreakBefore w:val="0"/>
        <w:widowControl w:val="0"/>
        <w:numPr>
          <w:ilvl w:val="0"/>
          <w:numId w:val="18"/>
        </w:numPr>
        <w:kinsoku/>
        <w:wordWrap/>
        <w:overflowPunct/>
        <w:topLinePunct w:val="0"/>
        <w:autoSpaceDE/>
        <w:autoSpaceDN/>
        <w:bidi w:val="0"/>
        <w:adjustRightInd/>
        <w:snapToGrid/>
        <w:spacing w:line="360" w:lineRule="auto"/>
        <w:ind w:left="-18" w:right="0" w:rightChars="0" w:firstLine="382" w:firstLineChars="182"/>
        <w:jc w:val="both"/>
        <w:textAlignment w:val="auto"/>
        <w:rPr>
          <w:rFonts w:hint="eastAsia" w:ascii="仿宋_GB2312" w:hAnsi="仿宋_GB2312" w:eastAsia="仿宋_GB2312" w:cs="仿宋_GB2312"/>
          <w:color w:val="auto"/>
          <w:sz w:val="28"/>
          <w:szCs w:val="28"/>
          <w:highlight w:val="none"/>
          <w:lang w:val="en-US" w:eastAsia="zh-CN"/>
        </w:rPr>
      </w:pPr>
      <w:bookmarkStart w:id="6" w:name="_Toc29685"/>
      <w:r>
        <w:rPr>
          <w:rFonts w:hint="eastAsia" w:ascii="仿宋_GB2312" w:hAnsi="仿宋_GB2312" w:eastAsia="仿宋_GB2312" w:cs="仿宋_GB2312"/>
          <w:color w:val="auto"/>
          <w:sz w:val="28"/>
          <w:szCs w:val="28"/>
          <w:highlight w:val="none"/>
          <w:lang w:val="en-US" w:eastAsia="zh-CN"/>
        </w:rPr>
        <w:t>保洁供方因服务品质不佳，被媒体曝光、影响中国铁建地产品牌声誉，或被集团、区域公司、物业公司领导点名批评的，直接退出清洁服务合格供方名录，永不聘用（包括同法人代表的同类型企业）。</w:t>
      </w:r>
      <w:bookmarkEnd w:id="6"/>
    </w:p>
    <w:p>
      <w:pPr>
        <w:pStyle w:val="4"/>
        <w:keepNext w:val="0"/>
        <w:keepLines w:val="0"/>
        <w:pageBreakBefore w:val="0"/>
        <w:widowControl w:val="0"/>
        <w:numPr>
          <w:ilvl w:val="0"/>
          <w:numId w:val="18"/>
        </w:numPr>
        <w:kinsoku/>
        <w:wordWrap/>
        <w:overflowPunct/>
        <w:topLinePunct w:val="0"/>
        <w:autoSpaceDE/>
        <w:autoSpaceDN/>
        <w:bidi w:val="0"/>
        <w:adjustRightInd/>
        <w:snapToGrid/>
        <w:spacing w:line="360" w:lineRule="auto"/>
        <w:ind w:left="-18" w:right="0" w:rightChars="0" w:firstLine="382" w:firstLineChars="182"/>
        <w:jc w:val="both"/>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集团及第三方客户满意度调查、集团物业大检查、总公司品质检查、集团400客户信息平台等权威部门的评价中，清洁服务评价最差、千户投诉率最高的后三名清洁服务供方，三</w:t>
      </w:r>
      <w:r>
        <w:rPr>
          <w:rFonts w:hint="eastAsia" w:ascii="仿宋_GB2312" w:hAnsi="仿宋_GB2312" w:eastAsia="仿宋_GB2312" w:cs="仿宋_GB2312"/>
          <w:color w:val="auto"/>
          <w:sz w:val="28"/>
          <w:szCs w:val="28"/>
          <w:highlight w:val="none"/>
          <w:lang w:eastAsia="zh-CN"/>
        </w:rPr>
        <w:t>年内不得被邀请参与任何保洁服务投标</w:t>
      </w:r>
      <w:r>
        <w:rPr>
          <w:rFonts w:hint="eastAsia" w:ascii="仿宋_GB2312" w:hAnsi="仿宋_GB2312" w:eastAsia="仿宋_GB2312" w:cs="仿宋_GB2312"/>
          <w:color w:val="auto"/>
          <w:sz w:val="28"/>
          <w:szCs w:val="28"/>
          <w:highlight w:val="none"/>
          <w:lang w:val="en-US" w:eastAsia="zh-CN"/>
        </w:rPr>
        <w:t>（包括同法人代表的同类型企业）</w:t>
      </w:r>
      <w:r>
        <w:rPr>
          <w:rFonts w:hint="eastAsia" w:ascii="仿宋_GB2312" w:hAnsi="仿宋_GB2312" w:eastAsia="仿宋_GB2312" w:cs="仿宋_GB2312"/>
          <w:color w:val="auto"/>
          <w:sz w:val="28"/>
          <w:szCs w:val="28"/>
          <w:highlight w:val="none"/>
          <w:lang w:eastAsia="zh-CN"/>
        </w:rPr>
        <w:t>。</w:t>
      </w:r>
    </w:p>
    <w:p>
      <w:pPr>
        <w:pStyle w:val="4"/>
        <w:keepNext w:val="0"/>
        <w:keepLines w:val="0"/>
        <w:pageBreakBefore w:val="0"/>
        <w:widowControl w:val="0"/>
        <w:numPr>
          <w:ilvl w:val="0"/>
          <w:numId w:val="18"/>
        </w:numPr>
        <w:kinsoku/>
        <w:wordWrap/>
        <w:overflowPunct/>
        <w:topLinePunct w:val="0"/>
        <w:autoSpaceDE/>
        <w:autoSpaceDN/>
        <w:bidi w:val="0"/>
        <w:adjustRightInd/>
        <w:snapToGrid/>
        <w:spacing w:line="360" w:lineRule="auto"/>
        <w:ind w:left="-18" w:right="0" w:rightChars="0" w:firstLine="382" w:firstLineChars="182"/>
        <w:jc w:val="both"/>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连续二年未参与过投标、投标未中标一次的合格供应商，将其从合格供应商名册中退出，不再其接纳重新申报。  </w:t>
      </w:r>
    </w:p>
    <w:p>
      <w:pPr>
        <w:pStyle w:val="4"/>
        <w:keepNext w:val="0"/>
        <w:keepLines w:val="0"/>
        <w:pageBreakBefore w:val="0"/>
        <w:widowControl w:val="0"/>
        <w:numPr>
          <w:ilvl w:val="0"/>
          <w:numId w:val="18"/>
        </w:numPr>
        <w:kinsoku/>
        <w:wordWrap/>
        <w:overflowPunct/>
        <w:topLinePunct w:val="0"/>
        <w:autoSpaceDE/>
        <w:autoSpaceDN/>
        <w:bidi w:val="0"/>
        <w:adjustRightInd/>
        <w:snapToGrid/>
        <w:spacing w:line="360" w:lineRule="auto"/>
        <w:ind w:left="-18" w:right="0" w:rightChars="0" w:firstLine="382" w:firstLineChars="182"/>
        <w:jc w:val="both"/>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在日常服务过程中，本合同年度内发生以下情况的，</w:t>
      </w:r>
      <w:r>
        <w:rPr>
          <w:rFonts w:hint="eastAsia" w:ascii="仿宋_GB2312" w:hAnsi="仿宋_GB2312" w:eastAsia="仿宋_GB2312" w:cs="仿宋_GB2312"/>
          <w:color w:val="auto"/>
          <w:sz w:val="28"/>
          <w:szCs w:val="28"/>
          <w:highlight w:val="none"/>
          <w:lang w:eastAsia="zh-CN"/>
        </w:rPr>
        <w:t>次年度不得被邀请参与任何保洁服务投标</w:t>
      </w:r>
      <w:r>
        <w:rPr>
          <w:rFonts w:hint="eastAsia" w:ascii="仿宋_GB2312" w:hAnsi="仿宋_GB2312" w:eastAsia="仿宋_GB2312" w:cs="仿宋_GB2312"/>
          <w:color w:val="auto"/>
          <w:sz w:val="28"/>
          <w:szCs w:val="28"/>
          <w:highlight w:val="none"/>
          <w:lang w:val="en-US" w:eastAsia="zh-CN"/>
        </w:rPr>
        <w:t>（包括同法人代表的同类型企业）</w:t>
      </w:r>
      <w:r>
        <w:rPr>
          <w:rFonts w:hint="eastAsia" w:ascii="仿宋_GB2312" w:hAnsi="仿宋_GB2312" w:eastAsia="仿宋_GB2312" w:cs="仿宋_GB2312"/>
          <w:color w:val="auto"/>
          <w:sz w:val="28"/>
          <w:szCs w:val="28"/>
          <w:highlight w:val="none"/>
          <w:lang w:eastAsia="zh-CN"/>
        </w:rPr>
        <w:t>。</w:t>
      </w:r>
    </w:p>
    <w:p>
      <w:pPr>
        <w:pStyle w:val="4"/>
        <w:keepNext w:val="0"/>
        <w:keepLines w:val="0"/>
        <w:pageBreakBefore w:val="0"/>
        <w:widowControl w:val="0"/>
        <w:numPr>
          <w:ilvl w:val="0"/>
          <w:numId w:val="19"/>
        </w:numPr>
        <w:kinsoku/>
        <w:wordWrap/>
        <w:overflowPunct/>
        <w:topLinePunct w:val="0"/>
        <w:autoSpaceDE/>
        <w:autoSpaceDN/>
        <w:bidi w:val="0"/>
        <w:adjustRightInd/>
        <w:snapToGrid/>
        <w:spacing w:line="360" w:lineRule="auto"/>
        <w:ind w:leftChars="182" w:right="0" w:rightChars="0" w:firstLine="280" w:firstLineChars="100"/>
        <w:jc w:val="both"/>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品质达不到约定的服务标准，经整改后重复检查仍然不达标的（不达标指现场检查评分低于检查总分的85%）；</w:t>
      </w:r>
    </w:p>
    <w:p>
      <w:pPr>
        <w:pStyle w:val="4"/>
        <w:keepNext w:val="0"/>
        <w:keepLines w:val="0"/>
        <w:pageBreakBefore w:val="0"/>
        <w:widowControl w:val="0"/>
        <w:numPr>
          <w:ilvl w:val="0"/>
          <w:numId w:val="19"/>
        </w:numPr>
        <w:kinsoku/>
        <w:wordWrap/>
        <w:overflowPunct/>
        <w:topLinePunct w:val="0"/>
        <w:autoSpaceDE/>
        <w:autoSpaceDN/>
        <w:bidi w:val="0"/>
        <w:adjustRightInd/>
        <w:snapToGrid/>
        <w:spacing w:line="360" w:lineRule="auto"/>
        <w:ind w:leftChars="182" w:right="0" w:rightChars="0" w:firstLine="280" w:firstLineChars="100"/>
        <w:jc w:val="both"/>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对公司下达的工作指令执行不到位，整改不及时的；</w:t>
      </w:r>
    </w:p>
    <w:p>
      <w:pPr>
        <w:pStyle w:val="4"/>
        <w:keepNext w:val="0"/>
        <w:keepLines w:val="0"/>
        <w:pageBreakBefore w:val="0"/>
        <w:widowControl w:val="0"/>
        <w:numPr>
          <w:ilvl w:val="0"/>
          <w:numId w:val="19"/>
        </w:numPr>
        <w:kinsoku/>
        <w:wordWrap/>
        <w:overflowPunct/>
        <w:topLinePunct w:val="0"/>
        <w:autoSpaceDE/>
        <w:autoSpaceDN/>
        <w:bidi w:val="0"/>
        <w:adjustRightInd/>
        <w:snapToGrid/>
        <w:spacing w:line="360" w:lineRule="auto"/>
        <w:ind w:leftChars="182" w:right="0" w:rightChars="0" w:firstLine="280" w:firstLineChars="100"/>
        <w:jc w:val="both"/>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因员工纠纷处理不当，影响到物业公司工作正常开展的；</w:t>
      </w:r>
    </w:p>
    <w:p>
      <w:pPr>
        <w:pStyle w:val="4"/>
        <w:keepNext w:val="0"/>
        <w:keepLines w:val="0"/>
        <w:pageBreakBefore w:val="0"/>
        <w:widowControl w:val="0"/>
        <w:numPr>
          <w:ilvl w:val="0"/>
          <w:numId w:val="19"/>
        </w:numPr>
        <w:kinsoku/>
        <w:wordWrap/>
        <w:overflowPunct/>
        <w:topLinePunct w:val="0"/>
        <w:autoSpaceDE/>
        <w:autoSpaceDN/>
        <w:bidi w:val="0"/>
        <w:adjustRightInd/>
        <w:snapToGrid/>
        <w:spacing w:line="360" w:lineRule="auto"/>
        <w:ind w:leftChars="182" w:right="0" w:rightChars="0" w:firstLine="280" w:firstLineChars="100"/>
        <w:jc w:val="both"/>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发生一次重大安全事故的；</w:t>
      </w:r>
    </w:p>
    <w:p>
      <w:pPr>
        <w:pStyle w:val="4"/>
        <w:keepNext w:val="0"/>
        <w:keepLines w:val="0"/>
        <w:pageBreakBefore w:val="0"/>
        <w:widowControl w:val="0"/>
        <w:numPr>
          <w:ilvl w:val="0"/>
          <w:numId w:val="19"/>
        </w:numPr>
        <w:kinsoku/>
        <w:wordWrap/>
        <w:overflowPunct/>
        <w:topLinePunct w:val="0"/>
        <w:autoSpaceDE/>
        <w:autoSpaceDN/>
        <w:bidi w:val="0"/>
        <w:adjustRightInd/>
        <w:snapToGrid/>
        <w:spacing w:line="360" w:lineRule="auto"/>
        <w:ind w:leftChars="182" w:right="0" w:rightChars="0" w:firstLine="280" w:firstLineChars="100"/>
        <w:jc w:val="both"/>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被总公司或分公司专业分管领导或项目经理约谈两次（含）以上的。</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82" w:right="0" w:rightChars="0"/>
        <w:jc w:val="both"/>
        <w:textAlignment w:val="auto"/>
        <w:rPr>
          <w:rFonts w:hint="eastAsia" w:ascii="仿宋_GB2312" w:hAnsi="仿宋_GB2312" w:eastAsia="仿宋_GB2312" w:cs="仿宋_GB2312"/>
          <w:color w:val="auto"/>
          <w:sz w:val="28"/>
          <w:szCs w:val="28"/>
          <w:highlight w:val="none"/>
          <w:lang w:val="en-US" w:eastAsia="zh-CN"/>
        </w:rPr>
      </w:pPr>
    </w:p>
    <w:p>
      <w:pPr>
        <w:numPr>
          <w:ilvl w:val="0"/>
          <w:numId w:val="0"/>
        </w:numPr>
        <w:jc w:val="both"/>
        <w:rPr>
          <w:rFonts w:hint="eastAsia" w:ascii="仿宋_GB2312" w:hAnsi="仿宋_GB2312" w:eastAsia="仿宋_GB2312" w:cs="仿宋_GB2312"/>
          <w:b/>
          <w:color w:val="auto"/>
          <w:sz w:val="36"/>
          <w:szCs w:val="36"/>
          <w:highlight w:val="none"/>
          <w:lang w:eastAsia="zh-CN"/>
        </w:rPr>
      </w:pPr>
      <w:r>
        <w:rPr>
          <w:rFonts w:hint="eastAsia" w:ascii="仿宋_GB2312" w:hAnsi="仿宋_GB2312" w:eastAsia="仿宋_GB2312" w:cs="仿宋_GB2312"/>
          <w:b/>
          <w:color w:val="auto"/>
          <w:sz w:val="36"/>
          <w:szCs w:val="36"/>
          <w:highlight w:val="none"/>
          <w:lang w:eastAsia="zh-CN"/>
        </w:rPr>
        <w:t>附件：</w:t>
      </w:r>
    </w:p>
    <w:p>
      <w:pPr>
        <w:keepNext w:val="0"/>
        <w:keepLines w:val="0"/>
        <w:pageBreakBefore w:val="0"/>
        <w:widowControl w:val="0"/>
        <w:numPr>
          <w:ilvl w:val="0"/>
          <w:numId w:val="20"/>
        </w:numPr>
        <w:kinsoku/>
        <w:wordWrap/>
        <w:overflowPunct/>
        <w:topLinePunct w:val="0"/>
        <w:autoSpaceDE/>
        <w:autoSpaceDN/>
        <w:bidi w:val="0"/>
        <w:adjustRightInd/>
        <w:snapToGrid/>
        <w:spacing w:line="240" w:lineRule="auto"/>
        <w:jc w:val="left"/>
        <w:textAlignment w:val="auto"/>
        <w:outlineLvl w:val="1"/>
        <w:rPr>
          <w:rFonts w:hint="eastAsia" w:ascii="仿宋_GB2312" w:hAnsi="仿宋_GB2312" w:eastAsia="仿宋_GB2312" w:cs="仿宋_GB2312"/>
          <w:b w:val="0"/>
          <w:bCs w:val="0"/>
          <w:color w:val="auto"/>
          <w:sz w:val="28"/>
          <w:szCs w:val="28"/>
          <w:highlight w:val="none"/>
          <w:lang w:val="en-US" w:eastAsia="zh-CN"/>
        </w:rPr>
      </w:pPr>
      <w:r>
        <w:rPr>
          <w:rFonts w:hint="eastAsia" w:ascii="仿宋_GB2312" w:hAnsi="仿宋_GB2312" w:eastAsia="仿宋_GB2312" w:cs="仿宋_GB2312"/>
          <w:b w:val="0"/>
          <w:bCs w:val="0"/>
          <w:color w:val="auto"/>
          <w:sz w:val="28"/>
          <w:szCs w:val="28"/>
          <w:highlight w:val="none"/>
          <w:lang w:val="en-US" w:eastAsia="zh-CN"/>
        </w:rPr>
        <w:t>日常清洁服务招标文件（2017版）</w:t>
      </w:r>
    </w:p>
    <w:p>
      <w:pPr>
        <w:keepNext w:val="0"/>
        <w:keepLines w:val="0"/>
        <w:pageBreakBefore w:val="0"/>
        <w:widowControl w:val="0"/>
        <w:numPr>
          <w:ilvl w:val="0"/>
          <w:numId w:val="20"/>
        </w:numPr>
        <w:kinsoku/>
        <w:wordWrap/>
        <w:overflowPunct/>
        <w:topLinePunct w:val="0"/>
        <w:autoSpaceDE/>
        <w:autoSpaceDN/>
        <w:bidi w:val="0"/>
        <w:adjustRightInd/>
        <w:snapToGrid/>
        <w:spacing w:line="240" w:lineRule="auto"/>
        <w:jc w:val="left"/>
        <w:textAlignment w:val="auto"/>
        <w:outlineLvl w:val="1"/>
        <w:rPr>
          <w:rFonts w:hint="eastAsia" w:ascii="仿宋_GB2312" w:hAnsi="仿宋_GB2312" w:eastAsia="仿宋_GB2312" w:cs="仿宋_GB2312"/>
          <w:b w:val="0"/>
          <w:bCs w:val="0"/>
          <w:color w:val="auto"/>
          <w:sz w:val="28"/>
          <w:szCs w:val="28"/>
          <w:highlight w:val="none"/>
          <w:lang w:val="en-US" w:eastAsia="zh-CN"/>
        </w:rPr>
      </w:pPr>
      <w:r>
        <w:rPr>
          <w:rFonts w:hint="eastAsia" w:ascii="仿宋_GB2312" w:hAnsi="仿宋_GB2312" w:eastAsia="仿宋_GB2312" w:cs="仿宋_GB2312"/>
          <w:b w:val="0"/>
          <w:bCs w:val="0"/>
          <w:color w:val="auto"/>
          <w:sz w:val="28"/>
          <w:szCs w:val="28"/>
          <w:highlight w:val="none"/>
          <w:lang w:val="en-US" w:eastAsia="zh-CN"/>
        </w:rPr>
        <w:t>园区日常保洁服务委托合同（2017版）</w:t>
      </w:r>
    </w:p>
    <w:p>
      <w:pPr>
        <w:keepNext w:val="0"/>
        <w:keepLines w:val="0"/>
        <w:pageBreakBefore w:val="0"/>
        <w:widowControl w:val="0"/>
        <w:numPr>
          <w:ilvl w:val="0"/>
          <w:numId w:val="20"/>
        </w:numPr>
        <w:kinsoku/>
        <w:wordWrap/>
        <w:overflowPunct/>
        <w:topLinePunct w:val="0"/>
        <w:autoSpaceDE/>
        <w:autoSpaceDN/>
        <w:bidi w:val="0"/>
        <w:adjustRightInd/>
        <w:snapToGrid/>
        <w:spacing w:line="240" w:lineRule="auto"/>
        <w:jc w:val="left"/>
        <w:textAlignment w:val="auto"/>
        <w:outlineLvl w:val="1"/>
        <w:rPr>
          <w:rFonts w:hint="eastAsia" w:ascii="仿宋_GB2312" w:hAnsi="仿宋_GB2312" w:eastAsia="仿宋_GB2312" w:cs="仿宋_GB2312"/>
          <w:b w:val="0"/>
          <w:bCs w:val="0"/>
          <w:color w:val="auto"/>
          <w:sz w:val="28"/>
          <w:szCs w:val="28"/>
          <w:highlight w:val="none"/>
          <w:lang w:val="en-US" w:eastAsia="zh-CN"/>
        </w:rPr>
      </w:pPr>
      <w:r>
        <w:rPr>
          <w:rFonts w:hint="eastAsia" w:ascii="仿宋_GB2312" w:hAnsi="仿宋_GB2312" w:eastAsia="仿宋_GB2312" w:cs="仿宋_GB2312"/>
          <w:b w:val="0"/>
          <w:bCs w:val="0"/>
          <w:color w:val="auto"/>
          <w:sz w:val="28"/>
          <w:szCs w:val="28"/>
          <w:highlight w:val="none"/>
          <w:lang w:val="en-US" w:eastAsia="zh-CN"/>
        </w:rPr>
        <w:t>售楼处日常保洁服务委托合同（2017版）</w:t>
      </w:r>
    </w:p>
    <w:p>
      <w:pPr>
        <w:keepNext w:val="0"/>
        <w:keepLines w:val="0"/>
        <w:pageBreakBefore w:val="0"/>
        <w:widowControl w:val="0"/>
        <w:numPr>
          <w:ilvl w:val="0"/>
          <w:numId w:val="20"/>
        </w:numPr>
        <w:kinsoku/>
        <w:wordWrap/>
        <w:overflowPunct/>
        <w:topLinePunct w:val="0"/>
        <w:autoSpaceDE/>
        <w:autoSpaceDN/>
        <w:bidi w:val="0"/>
        <w:adjustRightInd/>
        <w:snapToGrid/>
        <w:spacing w:line="240" w:lineRule="auto"/>
        <w:jc w:val="left"/>
        <w:textAlignment w:val="auto"/>
        <w:outlineLvl w:val="1"/>
        <w:rPr>
          <w:rFonts w:hint="eastAsia" w:ascii="仿宋_GB2312" w:hAnsi="仿宋_GB2312" w:eastAsia="仿宋_GB2312" w:cs="仿宋_GB2312"/>
          <w:b w:val="0"/>
          <w:bCs w:val="0"/>
          <w:color w:val="auto"/>
          <w:sz w:val="28"/>
          <w:szCs w:val="28"/>
          <w:highlight w:val="none"/>
          <w:lang w:val="en-US" w:eastAsia="zh-CN"/>
        </w:rPr>
      </w:pPr>
      <w:r>
        <w:rPr>
          <w:rFonts w:hint="eastAsia" w:ascii="仿宋_GB2312" w:hAnsi="仿宋_GB2312" w:eastAsia="仿宋_GB2312" w:cs="仿宋_GB2312"/>
          <w:b w:val="0"/>
          <w:bCs w:val="0"/>
          <w:color w:val="auto"/>
          <w:sz w:val="28"/>
          <w:szCs w:val="28"/>
          <w:highlight w:val="none"/>
          <w:lang w:val="en-US" w:eastAsia="zh-CN"/>
        </w:rPr>
        <w:t>生活垃圾清运服务合同（2016版）</w:t>
      </w:r>
    </w:p>
    <w:p>
      <w:pPr>
        <w:keepNext w:val="0"/>
        <w:keepLines w:val="0"/>
        <w:pageBreakBefore w:val="0"/>
        <w:widowControl w:val="0"/>
        <w:numPr>
          <w:ilvl w:val="0"/>
          <w:numId w:val="20"/>
        </w:numPr>
        <w:kinsoku/>
        <w:wordWrap/>
        <w:overflowPunct/>
        <w:topLinePunct w:val="0"/>
        <w:autoSpaceDE/>
        <w:autoSpaceDN/>
        <w:bidi w:val="0"/>
        <w:adjustRightInd/>
        <w:snapToGrid/>
        <w:spacing w:line="240" w:lineRule="auto"/>
        <w:jc w:val="left"/>
        <w:textAlignment w:val="auto"/>
        <w:outlineLvl w:val="1"/>
        <w:rPr>
          <w:rFonts w:hint="eastAsia" w:ascii="仿宋_GB2312" w:hAnsi="仿宋_GB2312" w:eastAsia="仿宋_GB2312" w:cs="仿宋_GB2312"/>
          <w:b w:val="0"/>
          <w:bCs w:val="0"/>
          <w:color w:val="auto"/>
          <w:sz w:val="28"/>
          <w:szCs w:val="28"/>
          <w:highlight w:val="none"/>
          <w:lang w:val="en-US" w:eastAsia="zh-CN"/>
        </w:rPr>
        <w:sectPr>
          <w:pgSz w:w="11906" w:h="16838"/>
          <w:pgMar w:top="1440" w:right="1800" w:bottom="1440" w:left="1800" w:header="851" w:footer="992" w:gutter="0"/>
          <w:pgNumType w:fmt="numberInDash"/>
          <w:cols w:space="425" w:num="1"/>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p>
    <w:tbl>
      <w:tblPr>
        <w:tblStyle w:val="11"/>
        <w:tblpPr w:leftFromText="180" w:rightFromText="180" w:vertAnchor="text" w:horzAnchor="page" w:tblpX="1717" w:tblpY="22"/>
        <w:tblOverlap w:val="never"/>
        <w:tblW w:w="15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5"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32"/>
                <w:szCs w:val="32"/>
                <w:highlight w:val="none"/>
                <w:vertAlign w:val="baseline"/>
                <w:lang w:eastAsia="zh-CN"/>
              </w:rPr>
            </w:pPr>
            <w:r>
              <w:rPr>
                <w:rFonts w:hint="eastAsia" w:ascii="仿宋_GB2312" w:hAnsi="仿宋_GB2312" w:eastAsia="仿宋_GB2312" w:cs="仿宋_GB2312"/>
                <w:b/>
                <w:color w:val="auto"/>
                <w:sz w:val="32"/>
                <w:szCs w:val="32"/>
                <w:highlight w:val="none"/>
                <w:vertAlign w:val="baseline"/>
                <w:lang w:eastAsia="zh-CN"/>
              </w:rPr>
              <w:t>内部资料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32"/>
                <w:szCs w:val="32"/>
                <w:highlight w:val="none"/>
                <w:vertAlign w:val="baseline"/>
                <w:lang w:eastAsia="zh-CN"/>
              </w:rPr>
            </w:pPr>
            <w:r>
              <w:rPr>
                <w:rFonts w:hint="eastAsia" w:ascii="仿宋_GB2312" w:hAnsi="仿宋_GB2312" w:eastAsia="仿宋_GB2312" w:cs="仿宋_GB2312"/>
                <w:b/>
                <w:color w:val="auto"/>
                <w:sz w:val="32"/>
                <w:szCs w:val="32"/>
                <w:highlight w:val="none"/>
                <w:vertAlign w:val="baseline"/>
                <w:lang w:eastAsia="zh-CN"/>
              </w:rPr>
              <w:t>注意保密</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仿宋_GB2312" w:hAnsi="仿宋_GB2312" w:eastAsia="仿宋_GB2312" w:cs="仿宋_GB2312"/>
          <w:b/>
          <w:color w:val="auto"/>
          <w:sz w:val="24"/>
          <w:highlight w:val="none"/>
          <w:lang w:eastAsia="zh-CN"/>
        </w:rPr>
      </w:pPr>
      <w:r>
        <w:rPr>
          <w:rFonts w:hint="eastAsia" w:ascii="仿宋_GB2312" w:hAnsi="仿宋_GB2312" w:eastAsia="仿宋_GB2312" w:cs="仿宋_GB2312"/>
          <w:color w:val="auto"/>
          <w:highlight w:val="none"/>
        </w:rPr>
        <w:drawing>
          <wp:anchor distT="0" distB="0" distL="114300" distR="114300" simplePos="0" relativeHeight="251659264" behindDoc="0" locked="0" layoutInCell="1" allowOverlap="1">
            <wp:simplePos x="0" y="0"/>
            <wp:positionH relativeFrom="column">
              <wp:posOffset>-1152525</wp:posOffset>
            </wp:positionH>
            <wp:positionV relativeFrom="paragraph">
              <wp:posOffset>80010</wp:posOffset>
            </wp:positionV>
            <wp:extent cx="7571105" cy="116840"/>
            <wp:effectExtent l="0" t="0" r="10795" b="16510"/>
            <wp:wrapNone/>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0"/>
                    <a:stretch>
                      <a:fillRect/>
                    </a:stretch>
                  </pic:blipFill>
                  <pic:spPr>
                    <a:xfrm>
                      <a:off x="0" y="0"/>
                      <a:ext cx="7571105" cy="116840"/>
                    </a:xfrm>
                    <a:prstGeom prst="rect">
                      <a:avLst/>
                    </a:prstGeom>
                    <a:noFill/>
                    <a:ln w="9525">
                      <a:noFill/>
                    </a:ln>
                  </pic:spPr>
                </pic:pic>
              </a:graphicData>
            </a:graphic>
          </wp:anchor>
        </w:drawing>
      </w:r>
    </w:p>
    <w:sectPr>
      <w:footerReference r:id="rId6"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decorative"/>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ourier New">
    <w:panose1 w:val="02070309020205020404"/>
    <w:charset w:val="00"/>
    <w:family w:val="auto"/>
    <w:pitch w:val="default"/>
    <w:sig w:usb0="00007A87" w:usb1="80000000" w:usb2="00000008" w:usb3="00000000" w:csb0="400001FF" w:csb1="FFFF0000"/>
  </w:font>
  <w:font w:name="Lucida Grande">
    <w:altName w:val="Microsoft Sans Serif"/>
    <w:panose1 w:val="020B0600040502020204"/>
    <w:charset w:val="00"/>
    <w:family w:val="auto"/>
    <w:pitch w:val="default"/>
    <w:sig w:usb0="00000000" w:usb1="00000000" w:usb2="00000000" w:usb3="00000000" w:csb0="000001BF" w:csb1="00000000"/>
  </w:font>
  <w:font w:name="仿宋">
    <w:altName w:val="仿宋_GB2312"/>
    <w:panose1 w:val="02010609060101010101"/>
    <w:charset w:val="86"/>
    <w:family w:val="auto"/>
    <w:pitch w:val="default"/>
    <w:sig w:usb0="00000000" w:usb1="00000000" w:usb2="00000016" w:usb3="00000000" w:csb0="00040001" w:csb1="00000000"/>
  </w:font>
  <w:font w:name="Microsoft Sans Serif">
    <w:panose1 w:val="020B0604020202020204"/>
    <w:charset w:val="00"/>
    <w:family w:val="auto"/>
    <w:pitch w:val="default"/>
    <w:sig w:usb0="61007BDF" w:usb1="80000000" w:usb2="00000008" w:usb3="00000000" w:csb0="200101FF" w:csb1="20280000"/>
  </w:font>
  <w:font w:name="AMGDT">
    <w:panose1 w:val="02000400000000000000"/>
    <w:charset w:val="00"/>
    <w:family w:val="auto"/>
    <w:pitch w:val="default"/>
    <w:sig w:usb0="80000003" w:usb1="1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Arial">
    <w:panose1 w:val="020B0604020202020204"/>
    <w:charset w:val="00"/>
    <w:family w:val="roman"/>
    <w:pitch w:val="default"/>
    <w:sig w:usb0="00007A87" w:usb1="80000000" w:usb2="00000008" w:usb3="00000000" w:csb0="400001FF" w:csb1="FFFF0000"/>
  </w:font>
  <w:font w:name="楷体">
    <w:altName w:val="楷体_GB2312"/>
    <w:panose1 w:val="02010609060101010101"/>
    <w:charset w:val="86"/>
    <w:family w:val="decorative"/>
    <w:pitch w:val="default"/>
    <w:sig w:usb0="00000000" w:usb1="00000000" w:usb2="00000016" w:usb3="00000000" w:csb0="00040001" w:csb1="00000000"/>
  </w:font>
  <w:font w:name="微软雅黑">
    <w:panose1 w:val="020B0503020204020204"/>
    <w:charset w:val="86"/>
    <w:family w:val="roman"/>
    <w:pitch w:val="default"/>
    <w:sig w:usb0="80000287" w:usb1="2A0F3C52" w:usb2="00000016" w:usb3="00000000" w:csb0="0004001F" w:csb1="00000000"/>
  </w:font>
  <w:font w:name="Tahoma">
    <w:panose1 w:val="020B0604030504040204"/>
    <w:charset w:val="00"/>
    <w:family w:val="roman"/>
    <w:pitch w:val="default"/>
    <w:sig w:usb0="61007A87" w:usb1="80000000" w:usb2="00000008" w:usb3="00000000" w:csb0="200101FF" w:csb1="20280000"/>
  </w:font>
  <w:font w:name="Calibri Light">
    <w:altName w:val="Calibri"/>
    <w:panose1 w:val="020F0302020204030204"/>
    <w:charset w:val="00"/>
    <w:family w:val="auto"/>
    <w:pitch w:val="default"/>
    <w:sig w:usb0="00000000" w:usb1="00000000" w:usb2="00000009" w:usb3="00000000" w:csb0="200001FF"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Gungsuh">
    <w:panose1 w:val="02030600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Malgun Gothic">
    <w:altName w:val="Gulim"/>
    <w:panose1 w:val="020B0503020000020004"/>
    <w:charset w:val="81"/>
    <w:family w:val="auto"/>
    <w:pitch w:val="default"/>
    <w:sig w:usb0="00000000" w:usb1="00000000" w:usb2="00000012" w:usb3="00000000" w:csb0="00080001" w:csb1="00000000"/>
  </w:font>
  <w:font w:name="Wingdings">
    <w:panose1 w:val="05000000000000000000"/>
    <w:charset w:val="00"/>
    <w:family w:val="auto"/>
    <w:pitch w:val="default"/>
    <w:sig w:usb0="00000000" w:usb1="00000000" w:usb2="00000000" w:usb3="00000000" w:csb0="80000000" w:csb1="00000000"/>
  </w:font>
  <w:font w:name="Symbol">
    <w:panose1 w:val="05050102010706020507"/>
    <w:charset w:val="00"/>
    <w:family w:val="auto"/>
    <w:pitch w:val="default"/>
    <w:sig w:usb0="00000000" w:usb1="00000000" w:usb2="00000000" w:usb3="00000000" w:csb0="80000000" w:csb1="00000000"/>
  </w:font>
  <w:font w:name="DFKai-SB">
    <w:altName w:val="MingLiU"/>
    <w:panose1 w:val="03000509000000000000"/>
    <w:charset w:val="88"/>
    <w:family w:val="auto"/>
    <w:pitch w:val="default"/>
    <w:sig w:usb0="00000000" w:usb1="00000000" w:usb2="00000016" w:usb3="00000000" w:csb0="00100001" w:csb1="00000000"/>
  </w:font>
  <w:font w:name="Gulim">
    <w:panose1 w:val="020B0600000101010101"/>
    <w:charset w:val="81"/>
    <w:family w:val="auto"/>
    <w:pitch w:val="default"/>
    <w:sig w:usb0="B00002AF" w:usb1="69D77CFB" w:usb2="00000030" w:usb3="00000000" w:csb0="4008009F" w:csb1="DFD70000"/>
  </w:font>
  <w:font w:name="MingLiU">
    <w:panose1 w:val="02020309000000000000"/>
    <w:charset w:val="88"/>
    <w:family w:val="auto"/>
    <w:pitch w:val="default"/>
    <w:sig w:usb0="00000003" w:usb1="082E0000" w:usb2="00000016" w:usb3="00000000" w:csb0="00100001" w:csb1="00000000"/>
  </w:font>
  <w:font w:name="MingLiU-ExtB">
    <w:altName w:val="PMingLiU"/>
    <w:panose1 w:val="02020500000000000000"/>
    <w:charset w:val="88"/>
    <w:family w:val="auto"/>
    <w:pitch w:val="default"/>
    <w:sig w:usb0="00000000" w:usb1="00000000" w:usb2="00000000" w:usb3="00000000" w:csb0="00100001" w:csb1="00000000"/>
  </w:font>
  <w:font w:name="PMingLiU-ExtB">
    <w:altName w:val="PMingLiU"/>
    <w:panose1 w:val="02020500000000000000"/>
    <w:charset w:val="88"/>
    <w:family w:val="auto"/>
    <w:pitch w:val="default"/>
    <w:sig w:usb0="00000000" w:usb1="00000000" w:usb2="00000000" w:usb3="00000000" w:csb0="00100001" w:csb1="00000000"/>
  </w:font>
  <w:font w:name="Tw Cen MT Condensed">
    <w:panose1 w:val="020B0606020104020203"/>
    <w:charset w:val="00"/>
    <w:family w:val="auto"/>
    <w:pitch w:val="default"/>
    <w:sig w:usb0="00000003" w:usb1="00000000" w:usb2="00000000" w:usb3="00000000" w:csb0="20000003" w:csb1="00000000"/>
  </w:font>
  <w:font w:name="小标宋">
    <w:panose1 w:val="03000509000000000000"/>
    <w:charset w:val="86"/>
    <w:family w:val="script"/>
    <w:pitch w:val="default"/>
    <w:sig w:usb0="00000001" w:usb1="080E0000" w:usb2="00000000" w:usb3="00000000" w:csb0="00040000" w:csb1="00000000"/>
  </w:font>
  <w:font w:name="幼圆">
    <w:panose1 w:val="02010509060101010101"/>
    <w:charset w:val="86"/>
    <w:family w:val="auto"/>
    <w:pitch w:val="default"/>
    <w:sig w:usb0="00000001" w:usb1="080E0000" w:usb2="00000000" w:usb3="00000000" w:csb0="00040000" w:csb1="00000000"/>
  </w:font>
  <w:font w:name="微软雅黑 Light">
    <w:altName w:val="黑体"/>
    <w:panose1 w:val="020B0502040204020203"/>
    <w:charset w:val="86"/>
    <w:family w:val="auto"/>
    <w:pitch w:val="default"/>
    <w:sig w:usb0="00000000" w:usb1="00000000" w:usb2="00000016" w:usb3="00000000" w:csb0="0004001F" w:csb1="0000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 w:name="Microsoft JhengHei UI Light">
    <w:altName w:val="PMingLiU"/>
    <w:panose1 w:val="020B0304030504040204"/>
    <w:charset w:val="88"/>
    <w:family w:val="auto"/>
    <w:pitch w:val="default"/>
    <w:sig w:usb0="00000000" w:usb1="00000000" w:usb2="00000016" w:usb3="00000000" w:csb0="00100009" w:csb1="00000000"/>
  </w:font>
  <w:font w:name="Microsoft YaHei UI">
    <w:altName w:val="宋体"/>
    <w:panose1 w:val="020B0503020204020204"/>
    <w:charset w:val="86"/>
    <w:family w:val="auto"/>
    <w:pitch w:val="default"/>
    <w:sig w:usb0="00000000" w:usb1="00000000" w:usb2="00000016" w:usb3="00000000" w:csb0="0004001F" w:csb1="00000000"/>
  </w:font>
  <w:font w:name="MS PGothic">
    <w:panose1 w:val="020B0600070205080204"/>
    <w:charset w:val="80"/>
    <w:family w:val="auto"/>
    <w:pitch w:val="default"/>
    <w:sig w:usb0="A00002BF" w:usb1="68C7FCFB" w:usb2="00000010" w:usb3="00000000" w:csb0="4002009F" w:csb1="DFD70000"/>
  </w:font>
  <w:font w:name="MS Gothic">
    <w:panose1 w:val="020B0609070205080204"/>
    <w:charset w:val="80"/>
    <w:family w:val="auto"/>
    <w:pitch w:val="default"/>
    <w:sig w:usb0="A00002BF" w:usb1="68C7FCFB" w:usb2="00000010" w:usb3="00000000" w:csb0="4002009F" w:csb1="DFD70000"/>
  </w:font>
  <w:font w:name="MS UI Gothic">
    <w:panose1 w:val="020B0600070205080204"/>
    <w:charset w:val="80"/>
    <w:family w:val="auto"/>
    <w:pitch w:val="default"/>
    <w:sig w:usb0="A00002BF" w:usb1="68C7FCFB" w:usb2="00000010" w:usb3="00000000" w:csb0="4002009F" w:csb1="DFD70000"/>
  </w:font>
  <w:font w:name="PMingLiU">
    <w:panose1 w:val="02020300000000000000"/>
    <w:charset w:val="88"/>
    <w:family w:val="auto"/>
    <w:pitch w:val="default"/>
    <w:sig w:usb0="00000003" w:usb1="082E0000" w:usb2="00000016" w:usb3="00000000" w:csb0="00100001" w:csb1="00000000"/>
  </w:font>
  <w:font w:name="Verdana">
    <w:panose1 w:val="020B0604030504040204"/>
    <w:charset w:val="00"/>
    <w:family w:val="swiss"/>
    <w:pitch w:val="default"/>
    <w:sig w:usb0="00000287" w:usb1="00000000" w:usb2="00000000" w:usb3="00000000" w:csb0="2000019F" w:csb1="00000000"/>
  </w:font>
  <w:font w:name="FPEF">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left" w:pos="4693"/>
        <w:tab w:val="clear" w:pos="4153"/>
      </w:tabs>
    </w:pP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E"/>
    <w:multiLevelType w:val="multilevel"/>
    <w:tmpl w:val="0000000E"/>
    <w:lvl w:ilvl="0" w:tentative="0">
      <w:start w:val="1"/>
      <w:numFmt w:val="decimal"/>
      <w:lvlText w:val="%1."/>
      <w:lvlJc w:val="left"/>
      <w:pPr>
        <w:tabs>
          <w:tab w:val="left" w:pos="922"/>
        </w:tabs>
        <w:ind w:left="922" w:hanging="420"/>
      </w:pPr>
    </w:lvl>
    <w:lvl w:ilvl="1" w:tentative="0">
      <w:start w:val="1"/>
      <w:numFmt w:val="lowerLetter"/>
      <w:lvlText w:val="%2)"/>
      <w:lvlJc w:val="left"/>
      <w:pPr>
        <w:tabs>
          <w:tab w:val="left" w:pos="1342"/>
        </w:tabs>
        <w:ind w:left="1342" w:hanging="420"/>
      </w:pPr>
    </w:lvl>
    <w:lvl w:ilvl="2" w:tentative="0">
      <w:start w:val="1"/>
      <w:numFmt w:val="lowerRoman"/>
      <w:lvlText w:val="%3."/>
      <w:lvlJc w:val="right"/>
      <w:pPr>
        <w:tabs>
          <w:tab w:val="left" w:pos="1762"/>
        </w:tabs>
        <w:ind w:left="1762" w:hanging="420"/>
      </w:pPr>
    </w:lvl>
    <w:lvl w:ilvl="3" w:tentative="0">
      <w:start w:val="1"/>
      <w:numFmt w:val="decimal"/>
      <w:lvlText w:val="%4."/>
      <w:lvlJc w:val="left"/>
      <w:pPr>
        <w:tabs>
          <w:tab w:val="left" w:pos="2182"/>
        </w:tabs>
        <w:ind w:left="2182" w:hanging="420"/>
      </w:pPr>
    </w:lvl>
    <w:lvl w:ilvl="4" w:tentative="0">
      <w:start w:val="1"/>
      <w:numFmt w:val="lowerLetter"/>
      <w:lvlText w:val="%5)"/>
      <w:lvlJc w:val="left"/>
      <w:pPr>
        <w:tabs>
          <w:tab w:val="left" w:pos="2602"/>
        </w:tabs>
        <w:ind w:left="2602" w:hanging="420"/>
      </w:pPr>
    </w:lvl>
    <w:lvl w:ilvl="5" w:tentative="0">
      <w:start w:val="1"/>
      <w:numFmt w:val="lowerRoman"/>
      <w:lvlText w:val="%6."/>
      <w:lvlJc w:val="right"/>
      <w:pPr>
        <w:tabs>
          <w:tab w:val="left" w:pos="3022"/>
        </w:tabs>
        <w:ind w:left="3022" w:hanging="420"/>
      </w:pPr>
    </w:lvl>
    <w:lvl w:ilvl="6" w:tentative="0">
      <w:start w:val="1"/>
      <w:numFmt w:val="decimal"/>
      <w:lvlText w:val="%7."/>
      <w:lvlJc w:val="left"/>
      <w:pPr>
        <w:tabs>
          <w:tab w:val="left" w:pos="3442"/>
        </w:tabs>
        <w:ind w:left="3442" w:hanging="420"/>
      </w:pPr>
    </w:lvl>
    <w:lvl w:ilvl="7" w:tentative="0">
      <w:start w:val="1"/>
      <w:numFmt w:val="lowerLetter"/>
      <w:lvlText w:val="%8)"/>
      <w:lvlJc w:val="left"/>
      <w:pPr>
        <w:tabs>
          <w:tab w:val="left" w:pos="3862"/>
        </w:tabs>
        <w:ind w:left="3862" w:hanging="420"/>
      </w:pPr>
    </w:lvl>
    <w:lvl w:ilvl="8" w:tentative="0">
      <w:start w:val="1"/>
      <w:numFmt w:val="lowerRoman"/>
      <w:lvlText w:val="%9."/>
      <w:lvlJc w:val="right"/>
      <w:pPr>
        <w:tabs>
          <w:tab w:val="left" w:pos="4282"/>
        </w:tabs>
        <w:ind w:left="4282" w:hanging="420"/>
      </w:pPr>
    </w:lvl>
  </w:abstractNum>
  <w:abstractNum w:abstractNumId="1">
    <w:nsid w:val="00000010"/>
    <w:multiLevelType w:val="multilevel"/>
    <w:tmpl w:val="00000010"/>
    <w:lvl w:ilvl="0" w:tentative="0">
      <w:start w:val="1"/>
      <w:numFmt w:val="decimal"/>
      <w:lvlText w:val="%1."/>
      <w:lvlJc w:val="left"/>
      <w:pPr>
        <w:tabs>
          <w:tab w:val="left" w:pos="922"/>
        </w:tabs>
        <w:ind w:left="922" w:hanging="420"/>
      </w:pPr>
    </w:lvl>
    <w:lvl w:ilvl="1" w:tentative="0">
      <w:start w:val="1"/>
      <w:numFmt w:val="decimal"/>
      <w:lvlText w:val="%2)"/>
      <w:lvlJc w:val="left"/>
      <w:pPr>
        <w:tabs>
          <w:tab w:val="left" w:pos="1342"/>
        </w:tabs>
        <w:ind w:left="1342" w:hanging="420"/>
      </w:pPr>
    </w:lvl>
    <w:lvl w:ilvl="2" w:tentative="0">
      <w:start w:val="1"/>
      <w:numFmt w:val="lowerRoman"/>
      <w:lvlText w:val="%3."/>
      <w:lvlJc w:val="right"/>
      <w:pPr>
        <w:tabs>
          <w:tab w:val="left" w:pos="1762"/>
        </w:tabs>
        <w:ind w:left="1762" w:hanging="420"/>
      </w:pPr>
    </w:lvl>
    <w:lvl w:ilvl="3" w:tentative="0">
      <w:start w:val="1"/>
      <w:numFmt w:val="decimal"/>
      <w:lvlText w:val="%4."/>
      <w:lvlJc w:val="left"/>
      <w:pPr>
        <w:tabs>
          <w:tab w:val="left" w:pos="2182"/>
        </w:tabs>
        <w:ind w:left="2182" w:hanging="420"/>
      </w:pPr>
    </w:lvl>
    <w:lvl w:ilvl="4" w:tentative="0">
      <w:start w:val="1"/>
      <w:numFmt w:val="lowerLetter"/>
      <w:lvlText w:val="%5)"/>
      <w:lvlJc w:val="left"/>
      <w:pPr>
        <w:tabs>
          <w:tab w:val="left" w:pos="2602"/>
        </w:tabs>
        <w:ind w:left="2602" w:hanging="420"/>
      </w:pPr>
    </w:lvl>
    <w:lvl w:ilvl="5" w:tentative="0">
      <w:start w:val="1"/>
      <w:numFmt w:val="lowerRoman"/>
      <w:lvlText w:val="%6."/>
      <w:lvlJc w:val="right"/>
      <w:pPr>
        <w:tabs>
          <w:tab w:val="left" w:pos="3022"/>
        </w:tabs>
        <w:ind w:left="3022" w:hanging="420"/>
      </w:pPr>
    </w:lvl>
    <w:lvl w:ilvl="6" w:tentative="0">
      <w:start w:val="1"/>
      <w:numFmt w:val="decimal"/>
      <w:lvlText w:val="%7."/>
      <w:lvlJc w:val="left"/>
      <w:pPr>
        <w:tabs>
          <w:tab w:val="left" w:pos="3442"/>
        </w:tabs>
        <w:ind w:left="3442" w:hanging="420"/>
      </w:pPr>
    </w:lvl>
    <w:lvl w:ilvl="7" w:tentative="0">
      <w:start w:val="1"/>
      <w:numFmt w:val="lowerLetter"/>
      <w:lvlText w:val="%8)"/>
      <w:lvlJc w:val="left"/>
      <w:pPr>
        <w:tabs>
          <w:tab w:val="left" w:pos="3862"/>
        </w:tabs>
        <w:ind w:left="3862" w:hanging="420"/>
      </w:pPr>
    </w:lvl>
    <w:lvl w:ilvl="8" w:tentative="0">
      <w:start w:val="1"/>
      <w:numFmt w:val="lowerRoman"/>
      <w:lvlText w:val="%9."/>
      <w:lvlJc w:val="right"/>
      <w:pPr>
        <w:tabs>
          <w:tab w:val="left" w:pos="4282"/>
        </w:tabs>
        <w:ind w:left="4282" w:hanging="420"/>
      </w:pPr>
    </w:lvl>
  </w:abstractNum>
  <w:abstractNum w:abstractNumId="2">
    <w:nsid w:val="2E20320D"/>
    <w:multiLevelType w:val="multilevel"/>
    <w:tmpl w:val="2E20320D"/>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58115D4C"/>
    <w:multiLevelType w:val="singleLevel"/>
    <w:tmpl w:val="58115D4C"/>
    <w:lvl w:ilvl="0" w:tentative="0">
      <w:start w:val="1"/>
      <w:numFmt w:val="chineseCounting"/>
      <w:suff w:val="nothing"/>
      <w:lvlText w:val="%1、"/>
      <w:lvlJc w:val="left"/>
    </w:lvl>
  </w:abstractNum>
  <w:abstractNum w:abstractNumId="4">
    <w:nsid w:val="58116319"/>
    <w:multiLevelType w:val="singleLevel"/>
    <w:tmpl w:val="58116319"/>
    <w:lvl w:ilvl="0" w:tentative="0">
      <w:start w:val="1"/>
      <w:numFmt w:val="decimal"/>
      <w:suff w:val="nothing"/>
      <w:lvlText w:val="%1."/>
      <w:lvlJc w:val="left"/>
    </w:lvl>
  </w:abstractNum>
  <w:abstractNum w:abstractNumId="5">
    <w:nsid w:val="581163B8"/>
    <w:multiLevelType w:val="singleLevel"/>
    <w:tmpl w:val="581163B8"/>
    <w:lvl w:ilvl="0" w:tentative="0">
      <w:start w:val="5"/>
      <w:numFmt w:val="decimal"/>
      <w:suff w:val="nothing"/>
      <w:lvlText w:val="%1."/>
      <w:lvlJc w:val="left"/>
    </w:lvl>
  </w:abstractNum>
  <w:abstractNum w:abstractNumId="6">
    <w:nsid w:val="5811662D"/>
    <w:multiLevelType w:val="singleLevel"/>
    <w:tmpl w:val="5811662D"/>
    <w:lvl w:ilvl="0" w:tentative="0">
      <w:start w:val="3"/>
      <w:numFmt w:val="chineseCounting"/>
      <w:suff w:val="nothing"/>
      <w:lvlText w:val="%1、"/>
      <w:lvlJc w:val="left"/>
    </w:lvl>
  </w:abstractNum>
  <w:abstractNum w:abstractNumId="7">
    <w:nsid w:val="581168C2"/>
    <w:multiLevelType w:val="singleLevel"/>
    <w:tmpl w:val="581168C2"/>
    <w:lvl w:ilvl="0" w:tentative="0">
      <w:start w:val="1"/>
      <w:numFmt w:val="decimal"/>
      <w:suff w:val="nothing"/>
      <w:lvlText w:val="%1."/>
      <w:lvlJc w:val="left"/>
    </w:lvl>
  </w:abstractNum>
  <w:abstractNum w:abstractNumId="8">
    <w:nsid w:val="58119597"/>
    <w:multiLevelType w:val="singleLevel"/>
    <w:tmpl w:val="58119597"/>
    <w:lvl w:ilvl="0" w:tentative="0">
      <w:start w:val="1"/>
      <w:numFmt w:val="decimal"/>
      <w:suff w:val="nothing"/>
      <w:lvlText w:val="%1."/>
      <w:lvlJc w:val="left"/>
    </w:lvl>
  </w:abstractNum>
  <w:abstractNum w:abstractNumId="9">
    <w:nsid w:val="58BE2220"/>
    <w:multiLevelType w:val="singleLevel"/>
    <w:tmpl w:val="58BE2220"/>
    <w:lvl w:ilvl="0" w:tentative="0">
      <w:start w:val="4"/>
      <w:numFmt w:val="chineseCounting"/>
      <w:suff w:val="space"/>
      <w:lvlText w:val="第%1章"/>
      <w:lvlJc w:val="left"/>
    </w:lvl>
  </w:abstractNum>
  <w:abstractNum w:abstractNumId="10">
    <w:nsid w:val="58BE516D"/>
    <w:multiLevelType w:val="multilevel"/>
    <w:tmpl w:val="58BE516D"/>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58BE5191"/>
    <w:multiLevelType w:val="singleLevel"/>
    <w:tmpl w:val="58BE5191"/>
    <w:lvl w:ilvl="0" w:tentative="0">
      <w:start w:val="1"/>
      <w:numFmt w:val="decimal"/>
      <w:lvlText w:val="%1)"/>
      <w:lvlJc w:val="left"/>
      <w:pPr>
        <w:tabs>
          <w:tab w:val="left" w:pos="360"/>
        </w:tabs>
        <w:ind w:left="360" w:hanging="360"/>
      </w:pPr>
    </w:lvl>
  </w:abstractNum>
  <w:abstractNum w:abstractNumId="12">
    <w:nsid w:val="58BE51AE"/>
    <w:multiLevelType w:val="singleLevel"/>
    <w:tmpl w:val="58BE51AE"/>
    <w:lvl w:ilvl="0" w:tentative="0">
      <w:start w:val="1"/>
      <w:numFmt w:val="decimal"/>
      <w:lvlText w:val="%1、"/>
      <w:lvlJc w:val="left"/>
      <w:pPr>
        <w:tabs>
          <w:tab w:val="left" w:pos="0"/>
        </w:tabs>
        <w:ind w:left="432" w:hanging="432"/>
      </w:pPr>
      <w:rPr>
        <w:rFonts w:hint="eastAsia"/>
      </w:rPr>
    </w:lvl>
  </w:abstractNum>
  <w:abstractNum w:abstractNumId="13">
    <w:nsid w:val="58BE51CF"/>
    <w:multiLevelType w:val="singleLevel"/>
    <w:tmpl w:val="58BE51CF"/>
    <w:lvl w:ilvl="0" w:tentative="0">
      <w:start w:val="1"/>
      <w:numFmt w:val="decimal"/>
      <w:lvlText w:val="%1)"/>
      <w:lvlJc w:val="left"/>
      <w:pPr>
        <w:tabs>
          <w:tab w:val="left" w:pos="425"/>
        </w:tabs>
        <w:ind w:left="425" w:hanging="425"/>
      </w:pPr>
    </w:lvl>
  </w:abstractNum>
  <w:abstractNum w:abstractNumId="14">
    <w:nsid w:val="58BE51E6"/>
    <w:multiLevelType w:val="multilevel"/>
    <w:tmpl w:val="58BE51E6"/>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58BE5202"/>
    <w:multiLevelType w:val="multilevel"/>
    <w:tmpl w:val="58BE5202"/>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58CB8967"/>
    <w:multiLevelType w:val="singleLevel"/>
    <w:tmpl w:val="58CB8967"/>
    <w:lvl w:ilvl="0" w:tentative="0">
      <w:start w:val="3"/>
      <w:numFmt w:val="chineseCounting"/>
      <w:suff w:val="nothing"/>
      <w:lvlText w:val="%1、"/>
      <w:lvlJc w:val="left"/>
    </w:lvl>
  </w:abstractNum>
  <w:abstractNum w:abstractNumId="17">
    <w:nsid w:val="58CF7108"/>
    <w:multiLevelType w:val="singleLevel"/>
    <w:tmpl w:val="58CF7108"/>
    <w:lvl w:ilvl="0" w:tentative="0">
      <w:start w:val="1"/>
      <w:numFmt w:val="chineseCounting"/>
      <w:suff w:val="nothing"/>
      <w:lvlText w:val="%1、"/>
      <w:lvlJc w:val="left"/>
    </w:lvl>
  </w:abstractNum>
  <w:abstractNum w:abstractNumId="18">
    <w:nsid w:val="58F95E86"/>
    <w:multiLevelType w:val="singleLevel"/>
    <w:tmpl w:val="58F95E86"/>
    <w:lvl w:ilvl="0" w:tentative="0">
      <w:start w:val="1"/>
      <w:numFmt w:val="decimal"/>
      <w:suff w:val="nothing"/>
      <w:lvlText w:val="%1、"/>
      <w:lvlJc w:val="left"/>
    </w:lvl>
  </w:abstractNum>
  <w:abstractNum w:abstractNumId="19">
    <w:nsid w:val="590835FC"/>
    <w:multiLevelType w:val="singleLevel"/>
    <w:tmpl w:val="590835FC"/>
    <w:lvl w:ilvl="0" w:tentative="0">
      <w:start w:val="1"/>
      <w:numFmt w:val="decimal"/>
      <w:suff w:val="nothing"/>
      <w:lvlText w:val="%1、"/>
      <w:lvlJc w:val="left"/>
    </w:lvl>
  </w:abstractNum>
  <w:num w:numId="1">
    <w:abstractNumId w:val="3"/>
  </w:num>
  <w:num w:numId="2">
    <w:abstractNumId w:val="4"/>
  </w:num>
  <w:num w:numId="3">
    <w:abstractNumId w:val="5"/>
  </w:num>
  <w:num w:numId="4">
    <w:abstractNumId w:val="6"/>
  </w:num>
  <w:num w:numId="5">
    <w:abstractNumId w:val="7"/>
  </w:num>
  <w:num w:numId="6">
    <w:abstractNumId w:val="8"/>
  </w:num>
  <w:num w:numId="7">
    <w:abstractNumId w:val="2"/>
  </w:num>
  <w:num w:numId="8">
    <w:abstractNumId w:val="10"/>
  </w:num>
  <w:num w:numId="9">
    <w:abstractNumId w:val="11"/>
  </w:num>
  <w:num w:numId="10">
    <w:abstractNumId w:val="12"/>
  </w:num>
  <w:num w:numId="11">
    <w:abstractNumId w:val="13"/>
  </w:num>
  <w:num w:numId="12">
    <w:abstractNumId w:val="14"/>
  </w:num>
  <w:num w:numId="13">
    <w:abstractNumId w:val="15"/>
  </w:num>
  <w:num w:numId="14">
    <w:abstractNumId w:val="1"/>
  </w:num>
  <w:num w:numId="15">
    <w:abstractNumId w:val="0"/>
  </w:num>
  <w:num w:numId="16">
    <w:abstractNumId w:val="16"/>
  </w:num>
  <w:num w:numId="17">
    <w:abstractNumId w:val="9"/>
  </w:num>
  <w:num w:numId="18">
    <w:abstractNumId w:val="17"/>
  </w:num>
  <w:num w:numId="19">
    <w:abstractNumId w:val="18"/>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3B4BE8"/>
    <w:rsid w:val="011A1CF1"/>
    <w:rsid w:val="02E10B93"/>
    <w:rsid w:val="03701CD9"/>
    <w:rsid w:val="04CC3188"/>
    <w:rsid w:val="060F4E36"/>
    <w:rsid w:val="06547420"/>
    <w:rsid w:val="0B6278E5"/>
    <w:rsid w:val="0C7C5734"/>
    <w:rsid w:val="0E5A0836"/>
    <w:rsid w:val="0F6F6FAD"/>
    <w:rsid w:val="128C3AE0"/>
    <w:rsid w:val="12F37081"/>
    <w:rsid w:val="13562812"/>
    <w:rsid w:val="15407034"/>
    <w:rsid w:val="1541715C"/>
    <w:rsid w:val="17EA4DD6"/>
    <w:rsid w:val="1A3654B3"/>
    <w:rsid w:val="1B9F7384"/>
    <w:rsid w:val="1C8C7274"/>
    <w:rsid w:val="1E161793"/>
    <w:rsid w:val="1E5B76BA"/>
    <w:rsid w:val="227429AE"/>
    <w:rsid w:val="24BF7488"/>
    <w:rsid w:val="259C5029"/>
    <w:rsid w:val="266727D2"/>
    <w:rsid w:val="26C47CD7"/>
    <w:rsid w:val="27AE0BF1"/>
    <w:rsid w:val="28044B1F"/>
    <w:rsid w:val="2AB679FE"/>
    <w:rsid w:val="2DAB2BCE"/>
    <w:rsid w:val="2E8E7B85"/>
    <w:rsid w:val="2F017C9A"/>
    <w:rsid w:val="2FB22BB5"/>
    <w:rsid w:val="30C2133E"/>
    <w:rsid w:val="31AE2D05"/>
    <w:rsid w:val="32132935"/>
    <w:rsid w:val="33476382"/>
    <w:rsid w:val="3372568A"/>
    <w:rsid w:val="355A4C44"/>
    <w:rsid w:val="36F9519C"/>
    <w:rsid w:val="382378C3"/>
    <w:rsid w:val="39AC6C13"/>
    <w:rsid w:val="39EB1FAE"/>
    <w:rsid w:val="3D201B7C"/>
    <w:rsid w:val="3E9C2888"/>
    <w:rsid w:val="40576E35"/>
    <w:rsid w:val="41E61D8F"/>
    <w:rsid w:val="45983F03"/>
    <w:rsid w:val="47FE30B6"/>
    <w:rsid w:val="489B67A3"/>
    <w:rsid w:val="49C63970"/>
    <w:rsid w:val="49E945EB"/>
    <w:rsid w:val="4C520C43"/>
    <w:rsid w:val="4C8C1618"/>
    <w:rsid w:val="4F003273"/>
    <w:rsid w:val="4FEF78E3"/>
    <w:rsid w:val="50D92E2B"/>
    <w:rsid w:val="51797F79"/>
    <w:rsid w:val="534E5341"/>
    <w:rsid w:val="5657447C"/>
    <w:rsid w:val="589A1DE9"/>
    <w:rsid w:val="58A530F5"/>
    <w:rsid w:val="5C642FA8"/>
    <w:rsid w:val="63D44D56"/>
    <w:rsid w:val="64C2041F"/>
    <w:rsid w:val="67207D26"/>
    <w:rsid w:val="67A0606B"/>
    <w:rsid w:val="67FD58E6"/>
    <w:rsid w:val="68A53F34"/>
    <w:rsid w:val="68DE04B6"/>
    <w:rsid w:val="6C782ECB"/>
    <w:rsid w:val="6DB11FC4"/>
    <w:rsid w:val="6F265330"/>
    <w:rsid w:val="715B1DCE"/>
    <w:rsid w:val="719F1190"/>
    <w:rsid w:val="720B468B"/>
    <w:rsid w:val="72B42856"/>
    <w:rsid w:val="746C66EF"/>
    <w:rsid w:val="753B4BE8"/>
    <w:rsid w:val="753E40E2"/>
    <w:rsid w:val="76755023"/>
    <w:rsid w:val="76A42C2C"/>
    <w:rsid w:val="7BA22856"/>
    <w:rsid w:val="7EBD1FE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3">
    <w:name w:val="Normal Indent"/>
    <w:basedOn w:val="1"/>
    <w:qFormat/>
    <w:uiPriority w:val="0"/>
    <w:pPr>
      <w:widowControl/>
      <w:spacing w:line="360" w:lineRule="auto"/>
      <w:ind w:firstLine="420"/>
      <w:jc w:val="left"/>
    </w:pPr>
    <w:rPr>
      <w:kern w:val="0"/>
    </w:rPr>
  </w:style>
  <w:style w:type="paragraph" w:styleId="4">
    <w:name w:val="Plain Text"/>
    <w:basedOn w:val="1"/>
    <w:qFormat/>
    <w:uiPriority w:val="0"/>
    <w:rPr>
      <w:rFonts w:ascii="宋体" w:hAnsi="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Normal (Web)"/>
    <w:basedOn w:val="1"/>
    <w:qFormat/>
    <w:uiPriority w:val="0"/>
    <w:pPr>
      <w:widowControl/>
      <w:spacing w:before="100" w:beforeLines="0" w:beforeAutospacing="1" w:after="100" w:afterLines="0" w:afterAutospacing="1"/>
      <w:jc w:val="left"/>
    </w:pPr>
    <w:rPr>
      <w:rFonts w:ascii="宋体" w:hAnsi="宋体"/>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paragraph" w:customStyle="1" w:styleId="12">
    <w:name w:val="Default"/>
    <w:qFormat/>
    <w:uiPriority w:val="0"/>
    <w:pPr>
      <w:widowControl w:val="0"/>
      <w:autoSpaceDE w:val="0"/>
      <w:autoSpaceDN w:val="0"/>
      <w:adjustRightInd w:val="0"/>
    </w:pPr>
    <w:rPr>
      <w:rFonts w:ascii="仿宋_GB2312" w:eastAsia="仿宋_GB2312" w:cs="仿宋_GB2312" w:hAnsiTheme="minorHAnsi"/>
      <w:color w:val="000000"/>
      <w:sz w:val="24"/>
      <w:szCs w:val="24"/>
      <w:lang w:val="en-US" w:eastAsia="zh-CN" w:bidi="ar-SA"/>
    </w:rPr>
  </w:style>
  <w:style w:type="paragraph" w:customStyle="1" w:styleId="13">
    <w:name w:val="列出段落1"/>
    <w:basedOn w:val="1"/>
    <w:qFormat/>
    <w:uiPriority w:val="34"/>
    <w:pPr>
      <w:ind w:firstLine="420" w:firstLineChars="200"/>
    </w:pPr>
  </w:style>
  <w:style w:type="character" w:customStyle="1" w:styleId="14">
    <w:name w:val="font61"/>
    <w:basedOn w:val="9"/>
    <w:qFormat/>
    <w:uiPriority w:val="0"/>
    <w:rPr>
      <w:rFonts w:hint="eastAsia" w:ascii="宋体" w:hAnsi="宋体" w:eastAsia="宋体" w:cs="宋体"/>
      <w:b/>
      <w:color w:val="0D0D0D"/>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中铁建物业</Company>
  <Pages>1</Pages>
  <Words>0</Words>
  <Characters>0</Characters>
  <Lines>0</Lines>
  <Paragraphs>0</Paragraphs>
  <ScaleCrop>false</ScaleCrop>
  <LinksUpToDate>false</LinksUpToDate>
  <CharactersWithSpaces>0</CharactersWithSpaces>
  <Application>WPS Office_10.8.0.5950_F1E327BC-269C-435d-A152-05C5408002CA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2017-03-06T01:21:00Z</dcterms:created>
  <dc:creator>白卫星</dc:creator>
  <cp:lastModifiedBy>Administrator</cp:lastModifiedBy>
  <dcterms:modified xsi:type="dcterms:W3CDTF">2017-05-27T03:35:28Z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